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96597"/>
      <w:bookmarkStart w:id="4" w:name="_Toc15377193"/>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598"/>
      <w:bookmarkStart w:id="8" w:name="_Toc15377194"/>
      <w:bookmarkStart w:id="9" w:name="_Toc15378442"/>
      <w:bookmarkStart w:id="10" w:name="_Toc15396476"/>
      <w:r>
        <w:rPr>
          <w:rFonts w:hint="eastAsia" w:ascii="方正小标宋简体" w:hAnsi="宋体" w:eastAsia="方正小标宋简体"/>
          <w:color w:val="000000"/>
          <w:sz w:val="72"/>
          <w:szCs w:val="72"/>
        </w:rPr>
        <w:t>阿坝州</w:t>
      </w:r>
      <w:bookmarkEnd w:id="0"/>
      <w:bookmarkStart w:id="11" w:name="_Toc15306268"/>
      <w:r>
        <w:rPr>
          <w:rFonts w:hint="eastAsia" w:ascii="方正小标宋简体" w:hAnsi="宋体" w:eastAsia="方正小标宋简体"/>
          <w:color w:val="000000"/>
          <w:sz w:val="72"/>
          <w:szCs w:val="72"/>
        </w:rPr>
        <w:t>少数民族语言文字文化古籍研究中心</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t>9</w:t>
      </w:r>
      <w:r>
        <w:rPr>
          <w:rFonts w:hint="eastAsia"/>
        </w:rPr>
        <w:t>月29日</w:t>
      </w:r>
    </w:p>
    <w:p/>
    <w:p>
      <w:pPr>
        <w:pStyle w:val="10"/>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2"/>
        <w:rPr>
          <w:rFonts w:ascii="仿宋" w:hAnsi="仿宋" w:eastAsia="仿宋"/>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8</w:t>
      </w:r>
      <w:r>
        <w:fldChar w:fldCharType="end"/>
      </w:r>
      <w:r>
        <w:fldChar w:fldCharType="end"/>
      </w:r>
    </w:p>
    <w:p>
      <w:pPr>
        <w:pStyle w:val="12"/>
        <w:rPr>
          <w:rFonts w:ascii="仿宋" w:hAnsi="仿宋" w:eastAsia="仿宋"/>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14</w:t>
      </w:r>
      <w:r>
        <w:fldChar w:fldCharType="end"/>
      </w:r>
      <w:r>
        <w:fldChar w:fldCharType="end"/>
      </w:r>
    </w:p>
    <w:p>
      <w:pPr>
        <w:pStyle w:val="10"/>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16</w:t>
      </w:r>
      <w:r>
        <w:fldChar w:fldCharType="end"/>
      </w:r>
      <w:r>
        <w:fldChar w:fldCharType="end"/>
      </w:r>
    </w:p>
    <w:p>
      <w:pPr>
        <w:pStyle w:val="12"/>
        <w:rPr>
          <w:rFonts w:ascii="仿宋" w:hAnsi="仿宋" w:eastAsia="仿宋"/>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hint="eastAsia" w:ascii="仿宋" w:hAnsi="仿宋" w:eastAsia="仿宋"/>
          <w:b/>
          <w:bCs/>
          <w:sz w:val="28"/>
          <w:szCs w:val="28"/>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16</w:t>
      </w:r>
      <w:r>
        <w:fldChar w:fldCharType="end"/>
      </w:r>
      <w:r>
        <w:fldChar w:fldCharType="end"/>
      </w:r>
    </w:p>
    <w:p>
      <w:pPr>
        <w:pStyle w:val="12"/>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val="0"/>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ind w:firstLine="630"/>
        <w:rPr>
          <w:rFonts w:ascii="仿宋_GB2312" w:eastAsia="仿宋_GB2312"/>
          <w:sz w:val="32"/>
          <w:szCs w:val="32"/>
        </w:rPr>
      </w:pPr>
      <w:bookmarkStart w:id="16" w:name="_Toc15377198"/>
      <w:bookmarkStart w:id="17" w:name="_Toc15378445"/>
      <w:r>
        <w:rPr>
          <w:rFonts w:hint="eastAsia" w:ascii="仿宋_GB2312" w:hAnsi="仿宋" w:eastAsia="仿宋_GB2312"/>
          <w:b/>
          <w:bCs/>
          <w:color w:val="000000"/>
          <w:sz w:val="32"/>
          <w:szCs w:val="32"/>
        </w:rPr>
        <w:t>（一）主要职能</w:t>
      </w:r>
      <w:r>
        <w:rPr>
          <w:rFonts w:hint="eastAsia" w:ascii="仿宋_GB2312" w:hAnsi="仿宋" w:eastAsia="仿宋_GB2312"/>
          <w:bCs/>
          <w:color w:val="000000"/>
          <w:sz w:val="32"/>
          <w:szCs w:val="32"/>
        </w:rPr>
        <w:t>。</w:t>
      </w:r>
      <w:bookmarkEnd w:id="16"/>
      <w:bookmarkEnd w:id="17"/>
      <w:bookmarkStart w:id="18" w:name="_Toc15377199"/>
      <w:bookmarkStart w:id="19" w:name="_Toc15378446"/>
      <w:r>
        <w:rPr>
          <w:rFonts w:hint="eastAsia" w:ascii="仿宋_GB2312" w:hAnsi="仿宋" w:eastAsia="仿宋_GB2312"/>
          <w:color w:val="333333"/>
          <w:sz w:val="32"/>
          <w:szCs w:val="32"/>
        </w:rPr>
        <w:t>阿坝州</w:t>
      </w:r>
      <w:r>
        <w:rPr>
          <w:rFonts w:hint="eastAsia" w:ascii="仿宋_GB2312" w:hAnsi="仿宋_GB2312" w:eastAsia="仿宋_GB2312" w:cs="仿宋_GB2312"/>
          <w:sz w:val="32"/>
          <w:szCs w:val="32"/>
        </w:rPr>
        <w:t>少数民族语言文字文化古籍研究中心部门决算包括3个单位（</w:t>
      </w:r>
      <w:r>
        <w:rPr>
          <w:rFonts w:hint="eastAsia" w:ascii="仿宋_GB2312" w:eastAsia="仿宋_GB2312"/>
          <w:sz w:val="32"/>
          <w:szCs w:val="32"/>
        </w:rPr>
        <w:t>阿坝州少数民族语言文字文化古籍研究中心，阿坝州民宗委培训教育中心，阿坝州民宗委涉宗网络监管中心。</w:t>
      </w:r>
      <w:r>
        <w:rPr>
          <w:rFonts w:hint="eastAsia" w:ascii="仿宋_GB2312" w:hAnsi="仿宋_GB2312" w:eastAsia="仿宋_GB2312" w:cs="仿宋_GB2312"/>
          <w:sz w:val="32"/>
          <w:szCs w:val="32"/>
        </w:rPr>
        <w:t>）以上3个中心是阿坝州民宗委的下属事业单位。其主要职能如下：</w:t>
      </w:r>
    </w:p>
    <w:p>
      <w:pPr>
        <w:ind w:firstLine="630"/>
        <w:rPr>
          <w:rFonts w:ascii="仿宋_GB2312" w:hAnsi="仿宋" w:eastAsia="仿宋_GB2312"/>
          <w:bCs/>
          <w:color w:val="000000"/>
          <w:sz w:val="32"/>
          <w:szCs w:val="32"/>
        </w:rPr>
      </w:pPr>
      <w:r>
        <w:rPr>
          <w:rFonts w:hint="eastAsia" w:ascii="仿宋_GB2312" w:hAnsi="仿宋" w:eastAsia="仿宋_GB2312"/>
          <w:bCs/>
          <w:color w:val="000000"/>
          <w:sz w:val="32"/>
          <w:szCs w:val="32"/>
        </w:rPr>
        <w:t>1.少数民族语言文字古籍文化研究中心：负责研究全州少数民族语言文字的规范使用等课题；负责研究少数民族文化保护、承传、弘扬开发利用等课题；负责研究少数民族古籍的挖掘、收集整理、修复、保护等课题。</w:t>
      </w:r>
    </w:p>
    <w:p>
      <w:pPr>
        <w:ind w:firstLine="630"/>
        <w:rPr>
          <w:rFonts w:ascii="仿宋_GB2312" w:hAnsi="仿宋" w:eastAsia="仿宋_GB2312"/>
          <w:bCs/>
          <w:color w:val="000000"/>
          <w:sz w:val="32"/>
          <w:szCs w:val="32"/>
        </w:rPr>
      </w:pPr>
      <w:r>
        <w:rPr>
          <w:rFonts w:hint="eastAsia" w:ascii="仿宋_GB2312" w:hAnsi="仿宋" w:eastAsia="仿宋_GB2312"/>
          <w:bCs/>
          <w:color w:val="000000"/>
          <w:sz w:val="32"/>
          <w:szCs w:val="32"/>
        </w:rPr>
        <w:t xml:space="preserve">2.教育培训中心工作职责：负责对全州范围内的僧人、寺管会成员、重要僧职人员、宗教团体组成人员的培训工作；加强宗教界人士的政治教育和法制教育，引导宗教界人士深入学习领会党的民族宗教政策，增强宗教界人士的国家意识、公民意识和法律意识，使宗教界人士充分了解藏区历史变迁和发展成就，引导宗教界对教义教规做出适应社会主义社会的新阐释；负责全州宗教工作干部的培训工作，不断提高宗教工作干部政治、理论素质，提高他们依法行政的能力，全面推进依法管理宗教事务的进程。            </w:t>
      </w:r>
    </w:p>
    <w:p>
      <w:pPr>
        <w:ind w:firstLine="630"/>
        <w:rPr>
          <w:rFonts w:ascii="仿宋_GB2312" w:hAnsi="仿宋" w:eastAsia="仿宋_GB2312"/>
          <w:bCs/>
          <w:color w:val="000000"/>
          <w:sz w:val="32"/>
          <w:szCs w:val="32"/>
        </w:rPr>
      </w:pPr>
      <w:r>
        <w:rPr>
          <w:rFonts w:hint="eastAsia" w:ascii="仿宋_GB2312" w:hAnsi="仿宋" w:eastAsia="仿宋_GB2312"/>
          <w:bCs/>
          <w:color w:val="000000"/>
          <w:sz w:val="32"/>
          <w:szCs w:val="32"/>
        </w:rPr>
        <w:t>3.涉宗网络监管中心职责：负责互联网上所有涉宗信息、动态、文章以及宗教活动场所、宗教教职人员言论进行监管；对全州宗教场所建门户网进行审核，同时对已建的宗教活动场所门户网进行监管；开展本局门户网建设工作。收集所有涉及宗教维稳信息的收集，对收集的各类信息进行分类，形成初步研判；对有关信息进行专题调研，形成报告；为局领导决策提供信息分析材料。</w:t>
      </w:r>
    </w:p>
    <w:p>
      <w:pPr>
        <w:ind w:left="315" w:leftChars="150" w:firstLine="161" w:firstLineChars="50"/>
        <w:rPr>
          <w:rFonts w:ascii="仿宋_GB2312" w:hAnsi="仿宋" w:eastAsia="仿宋_GB2312"/>
          <w:b/>
          <w:bCs/>
          <w:color w:val="000000"/>
          <w:sz w:val="32"/>
          <w:szCs w:val="32"/>
        </w:rPr>
      </w:pPr>
      <w:r>
        <w:rPr>
          <w:rFonts w:hint="eastAsia" w:ascii="仿宋_GB2312" w:hAnsi="仿宋" w:eastAsia="仿宋_GB2312"/>
          <w:b/>
          <w:bCs/>
          <w:color w:val="000000"/>
          <w:sz w:val="32"/>
          <w:szCs w:val="32"/>
        </w:rPr>
        <w:t>（二）2018年重点工作完成情况。</w:t>
      </w:r>
      <w:bookmarkEnd w:id="18"/>
      <w:bookmarkEnd w:id="19"/>
    </w:p>
    <w:p>
      <w:pPr>
        <w:ind w:left="315" w:leftChars="150" w:firstLine="160" w:firstLineChars="50"/>
        <w:rPr>
          <w:rFonts w:ascii="仿宋_GB2312" w:hAnsi="仿宋" w:eastAsia="仿宋_GB2312"/>
          <w:bCs/>
          <w:color w:val="000000"/>
          <w:sz w:val="32"/>
          <w:szCs w:val="32"/>
        </w:rPr>
      </w:pPr>
      <w:r>
        <w:rPr>
          <w:rFonts w:hint="eastAsia" w:ascii="仿宋_GB2312" w:hAnsi="仿宋" w:eastAsia="仿宋_GB2312"/>
          <w:bCs/>
          <w:color w:val="000000"/>
          <w:sz w:val="32"/>
          <w:szCs w:val="32"/>
        </w:rPr>
        <w:t>1.为保护、传承、弘扬我州古籍文化，做好古籍发掘、</w:t>
      </w:r>
    </w:p>
    <w:p>
      <w:pPr>
        <w:rPr>
          <w:rFonts w:ascii="仿宋_GB2312" w:hAnsi="仿宋" w:eastAsia="仿宋_GB2312"/>
          <w:bCs/>
          <w:color w:val="000000"/>
          <w:sz w:val="32"/>
          <w:szCs w:val="32"/>
        </w:rPr>
      </w:pPr>
      <w:r>
        <w:rPr>
          <w:rFonts w:hint="eastAsia" w:ascii="仿宋_GB2312" w:hAnsi="仿宋" w:eastAsia="仿宋_GB2312"/>
          <w:bCs/>
          <w:color w:val="000000"/>
          <w:sz w:val="32"/>
          <w:szCs w:val="32"/>
        </w:rPr>
        <w:t>收集整理、修复、保护等工作。少数民族语言文字文化古籍研究中心针对我州古籍和民族传统文化现状，做好古籍搜集、摸排工作，把散落在民间的古籍和民族传统文化进行全面掌握了解。并完成调研报告《阿坝州古籍保护及民族传统文化的保护和传承》。</w:t>
      </w:r>
    </w:p>
    <w:p>
      <w:pPr>
        <w:ind w:firstLine="630"/>
        <w:rPr>
          <w:rFonts w:ascii="仿宋_GB2312" w:hAnsi="仿宋" w:eastAsia="仿宋_GB2312"/>
          <w:bCs/>
          <w:color w:val="000000"/>
          <w:sz w:val="32"/>
          <w:szCs w:val="32"/>
        </w:rPr>
      </w:pPr>
      <w:r>
        <w:rPr>
          <w:rFonts w:hint="eastAsia" w:ascii="仿宋_GB2312" w:hAnsi="仿宋" w:eastAsia="仿宋_GB2312"/>
          <w:bCs/>
          <w:color w:val="000000"/>
          <w:sz w:val="32"/>
          <w:szCs w:val="32"/>
        </w:rPr>
        <w:t>2.把学习、宣传、贯彻《宗教事务条例》（以下简称条例）作为“七五”普法重要任务。通过开展“学习月”活动，组织民族宗教工作干部、宗教界人士和信教群众深入学习《条例》等相关法规规章和规范性文件;推进《条例》进机关单位、进宗教团体、进宗教院校、进宗教场所，做到学习活动全覆盖。民族宗教工作干部要带头学习、带头宣讲，引领宗教界人士和信教公民进一步牢固树立法治意识，自觉履行法定义务，形成尊法、学法、守法、用法的浓厚氛围，为推进解决宗教领域突出问题、提高宗教工作法治化水平奠定坚实的思想基础和广泛的群众基础。本年度开展了11期培训，700余人参加。一是9月份组织阿坝、若尔盖、红原、壤塘、松潘、马尔康6县（市）的藏传佛教重要教职人员（新转世活佛、堪布、民管会主任）参加了省委统战部、省民族宗教委举办的3期培训，培训50余人。二是9月28日至29日，组织州直相关部门负责宗教工作人员；各县（市）民宗局局长、分管宗教业务的副局长、宗教股业务人员；各县（市）佛协和伊协负责人，100余人参加了“全州宗教管理干部培训班”。三是10月中旬宗教界开展以学习《条例》为主题的“宗教政策法规学习月”系列活动，通过送服务下基层形式在阿坝、若尔盖、红原、壤塘、松潘、马尔康6个县（市）组织各县（市）涉宗部门主要负责人；统战、民宗部门全体干部；宗教团体全体工作人员；寺管会（所）干部；各乡镇宗教干部6期培训，500余人参加。四是12月9至16日组织40余名宗教界代表人士参加“全州宗教界代表人士培训班”1期，培训40人。五是以《宗教事务条例》颁布实施周年之际，大力开展依法管理宗教事务的学习教育活动。</w:t>
      </w:r>
    </w:p>
    <w:p>
      <w:pPr>
        <w:ind w:firstLine="630"/>
        <w:rPr>
          <w:rFonts w:ascii="仿宋_GB2312" w:hAnsi="仿宋" w:eastAsia="仿宋_GB2312"/>
          <w:bCs/>
          <w:color w:val="000000"/>
          <w:sz w:val="32"/>
          <w:szCs w:val="32"/>
        </w:rPr>
      </w:pPr>
      <w:r>
        <w:rPr>
          <w:rFonts w:hint="eastAsia" w:ascii="仿宋_GB2312" w:hAnsi="仿宋" w:eastAsia="仿宋_GB2312"/>
          <w:bCs/>
          <w:color w:val="000000"/>
          <w:sz w:val="32"/>
          <w:szCs w:val="32"/>
        </w:rPr>
        <w:t>3.围绕党的十九大、省委十一届三次全会、州委十一届</w:t>
      </w:r>
    </w:p>
    <w:p>
      <w:pPr>
        <w:rPr>
          <w:rFonts w:ascii="仿宋_GB2312" w:hAnsi="仿宋" w:eastAsia="仿宋_GB2312"/>
          <w:bCs/>
          <w:color w:val="000000"/>
          <w:sz w:val="32"/>
          <w:szCs w:val="32"/>
        </w:rPr>
      </w:pPr>
      <w:r>
        <w:rPr>
          <w:rFonts w:hint="eastAsia" w:ascii="仿宋_GB2312" w:hAnsi="仿宋" w:eastAsia="仿宋_GB2312"/>
          <w:bCs/>
          <w:color w:val="000000"/>
          <w:sz w:val="32"/>
          <w:szCs w:val="32"/>
        </w:rPr>
        <w:t>五次全和习近平总书记来川视察重要讲话精神，在学懂弄通做实上下功夫，积极引导我州宗教与新时代中国特色社会主义社会相适应。在委党组的坚强领导和全体同事的通力协助下，围绕单位重点工作，立足科室职能职责，着眼于5个系统平台，着力于5大工作任务，认真履行了科室工作职责，有效确保网站安全运行、及时更新、无报错，有力占领涉宗领域网络意识形态阵地，稳妥推进政务信息保密审查和挂网公开，扎实推进“长治久安”和“乡村善治”课题调研，积极参与贫困僧尼和宗教界代表人士走访慰问、经师资格评定聘任、中央和省委专项督查宗教工作迎检准备、政务云大数据平台建设暨政务信息系统迁移、驻阿坝县专项工作等。网站抽查合格率为100%，政务信息挂网公开率达100%以上；网站动态更新、政务信息挂网公开多次获得州政府办公室通报表扬。围绕“生态、发展、民生、稳定、作风”五大关键词，较好地完成了各项目标任务。无违规违纪行为，切实做到了忠诚、干净、担当。</w:t>
      </w:r>
    </w:p>
    <w:p>
      <w:pPr>
        <w:pStyle w:val="3"/>
        <w:tabs>
          <w:tab w:val="left" w:pos="6361"/>
        </w:tabs>
        <w:ind w:firstLine="640" w:firstLineChars="200"/>
        <w:rPr>
          <w:rStyle w:val="26"/>
          <w:rFonts w:ascii="黑体" w:hAnsi="黑体" w:eastAsia="黑体"/>
          <w:b w:val="0"/>
          <w:bCs w:val="0"/>
        </w:rPr>
      </w:pPr>
      <w:bookmarkStart w:id="20" w:name="_Toc15377200"/>
      <w:bookmarkStart w:id="21" w:name="_Toc15396601"/>
      <w:r>
        <w:rPr>
          <w:rFonts w:hint="eastAsia" w:ascii="黑体" w:hAnsi="黑体" w:eastAsia="黑体"/>
          <w:b w:val="0"/>
          <w:color w:val="000000"/>
        </w:rPr>
        <w:t>二、机</w:t>
      </w:r>
      <w:r>
        <w:rPr>
          <w:rStyle w:val="26"/>
          <w:rFonts w:hint="eastAsia" w:ascii="黑体" w:hAnsi="黑体" w:eastAsia="黑体"/>
          <w:b w:val="0"/>
          <w:bCs w:val="0"/>
        </w:rPr>
        <w:t>构设置</w:t>
      </w:r>
      <w:bookmarkEnd w:id="20"/>
      <w:bookmarkEnd w:id="21"/>
      <w:r>
        <w:rPr>
          <w:rStyle w:val="26"/>
          <w:rFonts w:hint="eastAsia" w:ascii="黑体" w:hAnsi="黑体" w:eastAsia="黑体"/>
          <w:b w:val="0"/>
          <w:bCs w:val="0"/>
        </w:rPr>
        <w:tab/>
      </w:r>
    </w:p>
    <w:p>
      <w:pPr>
        <w:pStyle w:val="5"/>
        <w:spacing w:before="93" w:line="448" w:lineRule="atLeast"/>
        <w:ind w:firstLine="640" w:firstLineChars="200"/>
        <w:rPr>
          <w:sz w:val="32"/>
          <w:szCs w:val="32"/>
        </w:rPr>
      </w:pPr>
      <w:r>
        <w:rPr>
          <w:rFonts w:hint="eastAsia"/>
          <w:sz w:val="32"/>
          <w:szCs w:val="32"/>
        </w:rPr>
        <w:t>阿坝州少数民族语言文字文化古籍研究中心阿坝州民宗委的下属正科级事业单位。2018年部门预算中单独下拨事业经费（包括州民宗委的直属正科级事业单位涉宗网络监管中心，培训教育中心）。在2018年的部门决算公开中的数据无上年数与之进行比较。单位事业编制10名，年末实有人数9人。</w:t>
      </w: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2018年度部门决算情况说明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2018年度收、支总计160.72万元。因2018年度单位的预算经费为单独下部门预算，因此无上年度比较数。</w:t>
      </w:r>
    </w:p>
    <w:p>
      <w:pPr>
        <w:pStyle w:val="24"/>
        <w:numPr>
          <w:ilvl w:val="0"/>
          <w:numId w:val="1"/>
        </w:numPr>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8年本年收入合计160.72万元，其中：一般公共预算财政拨款收入160.72万元，占100</w:t>
      </w:r>
      <w:r>
        <w:rPr>
          <w:rFonts w:ascii="仿宋" w:hAnsi="仿宋" w:eastAsia="仿宋"/>
          <w:color w:val="000000"/>
          <w:sz w:val="32"/>
          <w:szCs w:val="32"/>
        </w:rPr>
        <w:t>%</w:t>
      </w:r>
      <w:r>
        <w:rPr>
          <w:rFonts w:hint="eastAsia" w:ascii="仿宋" w:hAnsi="仿宋" w:eastAsia="仿宋"/>
          <w:color w:val="000000"/>
          <w:sz w:val="32"/>
          <w:szCs w:val="32"/>
        </w:rPr>
        <w:t>；无其他收入。</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inline distT="0" distB="0" distL="0" distR="0">
            <wp:extent cx="3853180" cy="1605915"/>
            <wp:effectExtent l="19050" t="0" r="13914"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jc w:val="left"/>
        <w:rPr>
          <w:rFonts w:ascii="宋体" w:hAnsi="宋体" w:cs="宋体"/>
          <w:kern w:val="0"/>
          <w:sz w:val="24"/>
        </w:rPr>
      </w:pPr>
    </w:p>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ind w:firstLine="641"/>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8年本年支出合计158.92万元，其中：基本支出158.92万元，占100</w:t>
      </w:r>
      <w:r>
        <w:rPr>
          <w:rFonts w:ascii="仿宋" w:hAnsi="仿宋" w:eastAsia="仿宋"/>
          <w:color w:val="000000"/>
          <w:sz w:val="32"/>
          <w:szCs w:val="32"/>
        </w:rPr>
        <w:t>%</w:t>
      </w:r>
      <w:r>
        <w:rPr>
          <w:rFonts w:hint="eastAsia" w:ascii="仿宋" w:hAnsi="仿宋" w:eastAsia="仿宋"/>
          <w:color w:val="000000"/>
          <w:sz w:val="32"/>
          <w:szCs w:val="32"/>
        </w:rPr>
        <w:t>；无项目支出。</w:t>
      </w:r>
    </w:p>
    <w:p>
      <w:pPr>
        <w:ind w:left="1065" w:leftChars="50" w:hanging="960" w:hangingChars="3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r>
        <w:rPr>
          <w:rFonts w:hint="eastAsia" w:ascii="仿宋_GB2312" w:eastAsia="仿宋_GB2312"/>
          <w:color w:val="FF0000"/>
          <w:sz w:val="32"/>
          <w:szCs w:val="32"/>
        </w:rPr>
        <w:drawing>
          <wp:inline distT="0" distB="0" distL="0" distR="0">
            <wp:extent cx="3844925" cy="2218055"/>
            <wp:effectExtent l="19050" t="0" r="21866"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ind w:firstLine="640" w:firstLineChars="20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8年财政拨款收、支总计160.72万元。因2018年单位预算单独下达，因此无上年比较数。</w:t>
      </w:r>
    </w:p>
    <w:p>
      <w:pPr>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ind w:firstLine="640"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ind w:firstLine="640" w:firstLineChars="20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8年一般公共预算财政拨款支出158.92万元，占本年支出合计的100</w:t>
      </w:r>
      <w:r>
        <w:rPr>
          <w:rFonts w:ascii="仿宋" w:hAnsi="仿宋" w:eastAsia="仿宋"/>
          <w:color w:val="000000"/>
          <w:sz w:val="32"/>
          <w:szCs w:val="32"/>
        </w:rPr>
        <w:t>%</w:t>
      </w:r>
      <w:r>
        <w:rPr>
          <w:rFonts w:hint="eastAsia" w:ascii="仿宋" w:hAnsi="仿宋" w:eastAsia="仿宋"/>
          <w:color w:val="000000"/>
          <w:sz w:val="32"/>
          <w:szCs w:val="32"/>
        </w:rPr>
        <w:t>。</w:t>
      </w:r>
    </w:p>
    <w:p>
      <w:pPr>
        <w:ind w:firstLine="640"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政拨款支出158.92万元，主要用于以下方面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支出121.33万元，占76.35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支出19.80万元，占12.46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医疗卫生与计划生育支出（类</w:t>
      </w:r>
      <w:r>
        <w:rPr>
          <w:rFonts w:hint="eastAsia" w:ascii="仿宋" w:hAnsi="仿宋" w:eastAsia="仿宋"/>
          <w:color w:val="000000" w:themeColor="text1"/>
          <w:sz w:val="32"/>
          <w:szCs w:val="32"/>
        </w:rPr>
        <w:t>）7.19万元，占4.52</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；住房保障支出（类）10.60万元，占6.67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r>
        <w:rPr>
          <w:rFonts w:hint="eastAsia" w:ascii="仿宋" w:hAnsi="仿宋" w:eastAsia="仿宋"/>
          <w:color w:val="000000"/>
          <w:sz w:val="32"/>
          <w:szCs w:val="32"/>
        </w:rPr>
        <w:drawing>
          <wp:inline distT="0" distB="0" distL="0" distR="0">
            <wp:extent cx="4664075" cy="2385060"/>
            <wp:effectExtent l="19050" t="0" r="22032"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rPr>
        <w:t>2018年一般公共预算财政拨款支出决算数为158.92万元</w:t>
      </w:r>
      <w:r>
        <w:rPr>
          <w:rFonts w:hint="eastAsia" w:ascii="仿宋" w:hAnsi="仿宋" w:eastAsia="仿宋"/>
          <w:color w:val="000000" w:themeColor="text1"/>
          <w:sz w:val="32"/>
          <w:szCs w:val="32"/>
        </w:rPr>
        <w:t>，</w:t>
      </w:r>
      <w:r>
        <w:rPr>
          <w:rStyle w:val="15"/>
          <w:rFonts w:hint="eastAsia" w:ascii="仿宋" w:hAnsi="仿宋" w:eastAsia="仿宋"/>
          <w:color w:val="000000" w:themeColor="text1"/>
          <w:sz w:val="32"/>
          <w:szCs w:val="32"/>
        </w:rPr>
        <w:t>完成</w:t>
      </w:r>
      <w:r>
        <w:rPr>
          <w:rStyle w:val="15"/>
          <w:rFonts w:hint="eastAsia" w:ascii="仿宋" w:hAnsi="仿宋" w:eastAsia="仿宋"/>
          <w:color w:val="000000"/>
          <w:sz w:val="32"/>
          <w:szCs w:val="32"/>
        </w:rPr>
        <w:t>预算100</w:t>
      </w:r>
      <w:r>
        <w:rPr>
          <w:rStyle w:val="15"/>
          <w:rFonts w:ascii="仿宋" w:hAnsi="仿宋" w:eastAsia="仿宋"/>
          <w:color w:val="000000"/>
          <w:sz w:val="32"/>
          <w:szCs w:val="32"/>
        </w:rPr>
        <w:t>%</w:t>
      </w:r>
      <w:r>
        <w:rPr>
          <w:rStyle w:val="15"/>
          <w:rFonts w:hint="eastAsia" w:ascii="仿宋" w:hAnsi="仿宋" w:eastAsia="仿宋"/>
          <w:color w:val="000000"/>
          <w:sz w:val="32"/>
          <w:szCs w:val="32"/>
        </w:rPr>
        <w:t>。其中：</w:t>
      </w:r>
      <w:bookmarkEnd w:id="37"/>
      <w:bookmarkEnd w:id="38"/>
      <w:bookmarkEnd w:id="39"/>
    </w:p>
    <w:p>
      <w:pPr>
        <w:ind w:firstLine="640" w:firstLineChars="200"/>
        <w:rPr>
          <w:rFonts w:ascii="仿宋_GB2312" w:eastAsia="仿宋_GB2312"/>
          <w:color w:val="000000"/>
          <w:sz w:val="32"/>
          <w:szCs w:val="32"/>
        </w:rPr>
      </w:pPr>
      <w:r>
        <w:rPr>
          <w:rStyle w:val="15"/>
          <w:rFonts w:ascii="仿宋" w:hAnsi="仿宋" w:eastAsia="仿宋"/>
          <w:color w:val="000000"/>
          <w:sz w:val="32"/>
          <w:szCs w:val="32"/>
        </w:rPr>
        <w:t>1.</w:t>
      </w:r>
      <w:r>
        <w:rPr>
          <w:rStyle w:val="15"/>
          <w:rFonts w:hint="eastAsia" w:ascii="仿宋" w:hAnsi="仿宋" w:eastAsia="仿宋"/>
          <w:color w:val="000000"/>
          <w:sz w:val="32"/>
          <w:szCs w:val="32"/>
        </w:rPr>
        <w:t>一般公共服务（类）</w:t>
      </w:r>
      <w:r>
        <w:rPr>
          <w:rFonts w:hint="eastAsia" w:ascii="仿宋_GB2312" w:eastAsia="仿宋_GB2312"/>
          <w:color w:val="000000"/>
          <w:sz w:val="32"/>
          <w:szCs w:val="32"/>
        </w:rPr>
        <w:t>民族事务款事业运行项（2012350）:支出决算为121.33万元，完成预算100%。</w:t>
      </w:r>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color w:val="000000"/>
          <w:sz w:val="32"/>
          <w:szCs w:val="32"/>
        </w:rPr>
        <w:t>2.社会保障和就业支出类</w:t>
      </w:r>
      <w:r>
        <w:rPr>
          <w:rStyle w:val="15"/>
          <w:rFonts w:hint="eastAsia" w:ascii="仿宋_GB2312" w:eastAsia="仿宋_GB2312"/>
          <w:b w:val="0"/>
          <w:color w:val="000000"/>
          <w:sz w:val="32"/>
          <w:szCs w:val="32"/>
        </w:rPr>
        <w:t>行政事业单位离退休款机关事业单位基本养老保险缴费项支出(2080505):</w:t>
      </w:r>
      <w:r>
        <w:rPr>
          <w:rFonts w:hint="eastAsia" w:ascii="仿宋_GB2312" w:eastAsia="仿宋_GB2312"/>
          <w:color w:val="000000"/>
          <w:sz w:val="32"/>
          <w:szCs w:val="32"/>
        </w:rPr>
        <w:t xml:space="preserve"> 支出决算为</w:t>
      </w:r>
      <w:r>
        <w:rPr>
          <w:rStyle w:val="15"/>
          <w:rFonts w:hint="eastAsia" w:ascii="仿宋_GB2312" w:eastAsia="仿宋_GB2312"/>
          <w:color w:val="000000"/>
          <w:sz w:val="32"/>
          <w:szCs w:val="32"/>
        </w:rPr>
        <w:t>14.15</w:t>
      </w:r>
      <w:r>
        <w:rPr>
          <w:rFonts w:hint="eastAsia" w:ascii="仿宋_GB2312" w:eastAsia="仿宋_GB2312"/>
          <w:color w:val="000000"/>
          <w:sz w:val="32"/>
          <w:szCs w:val="32"/>
        </w:rPr>
        <w:t>万元，完成预算100%。</w:t>
      </w:r>
    </w:p>
    <w:p>
      <w:pPr>
        <w:spacing w:line="560" w:lineRule="exact"/>
        <w:ind w:firstLine="645"/>
        <w:rPr>
          <w:rFonts w:ascii="仿宋_GB2312" w:eastAsia="仿宋_GB2312"/>
          <w:color w:val="000000"/>
          <w:sz w:val="32"/>
          <w:szCs w:val="32"/>
        </w:rPr>
      </w:pPr>
      <w:r>
        <w:rPr>
          <w:rStyle w:val="15"/>
          <w:rFonts w:hint="eastAsia" w:ascii="仿宋_GB2312" w:eastAsia="仿宋_GB2312"/>
          <w:color w:val="000000"/>
          <w:sz w:val="32"/>
          <w:szCs w:val="32"/>
        </w:rPr>
        <w:t>3.社会保障和就业支出类</w:t>
      </w:r>
      <w:r>
        <w:rPr>
          <w:rStyle w:val="15"/>
          <w:rFonts w:hint="eastAsia" w:ascii="仿宋_GB2312" w:eastAsia="仿宋_GB2312"/>
          <w:b w:val="0"/>
          <w:color w:val="000000"/>
          <w:sz w:val="32"/>
          <w:szCs w:val="32"/>
        </w:rPr>
        <w:t>行政事业单位离退休款机关事业单位</w:t>
      </w:r>
      <w:r>
        <w:rPr>
          <w:rFonts w:hint="eastAsia" w:ascii="仿宋_GB2312" w:eastAsia="仿宋_GB2312"/>
          <w:color w:val="000000"/>
          <w:sz w:val="32"/>
          <w:szCs w:val="32"/>
        </w:rPr>
        <w:t>职业年金缴费支出（2080506）: 支出决算为5.66万元，完成预算100%。</w:t>
      </w:r>
    </w:p>
    <w:p>
      <w:pPr>
        <w:spacing w:line="560" w:lineRule="exact"/>
        <w:ind w:firstLine="675"/>
        <w:rPr>
          <w:rFonts w:ascii="仿宋_GB2312" w:eastAsia="仿宋_GB2312"/>
          <w:color w:val="000000"/>
          <w:sz w:val="32"/>
          <w:szCs w:val="32"/>
        </w:rPr>
      </w:pPr>
      <w:r>
        <w:rPr>
          <w:rStyle w:val="15"/>
          <w:rFonts w:hint="eastAsia" w:ascii="仿宋_GB2312" w:eastAsia="仿宋_GB2312"/>
          <w:color w:val="000000"/>
          <w:sz w:val="32"/>
          <w:szCs w:val="32"/>
        </w:rPr>
        <w:t>4.医疗卫生与计划生育支出类</w:t>
      </w:r>
      <w:r>
        <w:rPr>
          <w:rStyle w:val="15"/>
          <w:rFonts w:hint="eastAsia" w:ascii="仿宋_GB2312" w:eastAsia="仿宋_GB2312"/>
          <w:b w:val="0"/>
          <w:color w:val="000000"/>
          <w:sz w:val="32"/>
          <w:szCs w:val="32"/>
        </w:rPr>
        <w:t>医疗保障款事业单位医疗项(2101102):</w:t>
      </w:r>
      <w:r>
        <w:rPr>
          <w:rFonts w:hint="eastAsia" w:ascii="仿宋_GB2312" w:eastAsia="仿宋_GB2312"/>
          <w:color w:val="000000"/>
          <w:sz w:val="32"/>
          <w:szCs w:val="32"/>
        </w:rPr>
        <w:t xml:space="preserve"> 支出决算为1.24万元，完成预算100%。</w:t>
      </w:r>
    </w:p>
    <w:p>
      <w:pPr>
        <w:spacing w:line="560" w:lineRule="exact"/>
        <w:ind w:firstLine="675"/>
        <w:rPr>
          <w:rFonts w:ascii="仿宋_GB2312" w:eastAsia="仿宋_GB2312"/>
          <w:color w:val="000000"/>
          <w:sz w:val="32"/>
          <w:szCs w:val="32"/>
        </w:rPr>
      </w:pPr>
      <w:r>
        <w:rPr>
          <w:rStyle w:val="15"/>
          <w:rFonts w:hint="eastAsia" w:ascii="仿宋_GB2312" w:eastAsia="仿宋_GB2312"/>
          <w:color w:val="000000"/>
          <w:sz w:val="32"/>
          <w:szCs w:val="32"/>
        </w:rPr>
        <w:t>7.医疗卫生与计划生育支出类</w:t>
      </w:r>
      <w:r>
        <w:rPr>
          <w:rStyle w:val="15"/>
          <w:rFonts w:hint="eastAsia" w:ascii="仿宋_GB2312" w:eastAsia="仿宋_GB2312"/>
          <w:b w:val="0"/>
          <w:color w:val="000000"/>
          <w:sz w:val="32"/>
          <w:szCs w:val="32"/>
        </w:rPr>
        <w:t>医疗保障款其他行政事业单位医疗支出项(2101199):</w:t>
      </w:r>
      <w:r>
        <w:rPr>
          <w:rFonts w:hint="eastAsia" w:ascii="仿宋_GB2312" w:eastAsia="仿宋_GB2312"/>
          <w:color w:val="000000"/>
          <w:sz w:val="32"/>
          <w:szCs w:val="32"/>
        </w:rPr>
        <w:t xml:space="preserve"> 支出决算为1.24万元，完成预算100%。</w:t>
      </w:r>
    </w:p>
    <w:p>
      <w:pPr>
        <w:spacing w:line="560" w:lineRule="exact"/>
        <w:ind w:firstLine="675"/>
        <w:rPr>
          <w:rFonts w:ascii="仿宋_GB2312" w:eastAsia="仿宋_GB2312"/>
          <w:color w:val="000000"/>
          <w:sz w:val="32"/>
          <w:szCs w:val="32"/>
        </w:rPr>
      </w:pPr>
      <w:r>
        <w:rPr>
          <w:rFonts w:hint="eastAsia" w:ascii="仿宋_GB2312" w:eastAsia="仿宋_GB2312"/>
          <w:b/>
          <w:color w:val="000000"/>
          <w:sz w:val="32"/>
          <w:szCs w:val="32"/>
        </w:rPr>
        <w:t>8</w:t>
      </w:r>
      <w:r>
        <w:rPr>
          <w:rFonts w:hint="eastAsia" w:ascii="仿宋_GB2312" w:eastAsia="仿宋_GB2312"/>
          <w:color w:val="000000"/>
          <w:sz w:val="32"/>
          <w:szCs w:val="32"/>
        </w:rPr>
        <w:t>.</w:t>
      </w:r>
      <w:r>
        <w:rPr>
          <w:rFonts w:hint="eastAsia" w:ascii="仿宋_GB2312" w:eastAsia="仿宋_GB2312"/>
          <w:b/>
          <w:color w:val="000000"/>
          <w:sz w:val="32"/>
          <w:szCs w:val="32"/>
        </w:rPr>
        <w:t>住房保障支出类</w:t>
      </w:r>
      <w:r>
        <w:rPr>
          <w:rFonts w:hint="eastAsia" w:ascii="仿宋_GB2312" w:eastAsia="仿宋_GB2312"/>
          <w:color w:val="000000"/>
          <w:sz w:val="32"/>
          <w:szCs w:val="32"/>
        </w:rPr>
        <w:t>住房改革支出款住房公积金项(2210201): 支出决算为10.60万元，完成预算100%。</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8年一般公共预算财政拨款基本支出158.92万元，其中：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140.91万元，主要包括：基本工资27.92万元、津贴补贴37.18万元、奖金25.7万元、机关事业单位基本养老保险缴费14.15万元、职业年金缴费5.66万元、职工基本医疗保险缴费5.96万元、其他社会保障缴费2.52万元、其他工资福利支出0.01万元、生活补助0.54万元、住房公积金10.61万元。</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公用经费18.01万元，主要包括：办公费4.75万元、电费1.04万元、邮电费3.62万元、差旅费8.25万元、公务接待费0.22万元、劳务费0.13万元。</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8年“三公”经费财政拨款支出决算为0.22万元，完成预算55</w:t>
      </w:r>
      <w:r>
        <w:rPr>
          <w:rFonts w:ascii="仿宋" w:hAnsi="仿宋" w:eastAsia="仿宋"/>
          <w:color w:val="000000"/>
          <w:sz w:val="32"/>
          <w:szCs w:val="32"/>
        </w:rPr>
        <w:t>%</w:t>
      </w:r>
      <w:r>
        <w:rPr>
          <w:rFonts w:hint="eastAsia" w:ascii="仿宋" w:hAnsi="仿宋" w:eastAsia="仿宋"/>
          <w:color w:val="000000"/>
          <w:sz w:val="32"/>
          <w:szCs w:val="32"/>
        </w:rPr>
        <w:t>，决算数小于预算数的原因是单位厉行节约。</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ind w:firstLine="64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8年“三公”经费财政拨款支出决算中，无因公出国（境）费支出；无公务用车购置及公务用车运行维护费支出，公务接待费支出决算0.22万元，占100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ind w:firstLine="641"/>
        <w:rPr>
          <w:rFonts w:ascii="仿宋" w:hAnsi="仿宋" w:eastAsia="仿宋"/>
          <w:color w:val="000000"/>
          <w:sz w:val="32"/>
          <w:szCs w:val="32"/>
        </w:rPr>
      </w:pPr>
      <w:r>
        <w:rPr>
          <w:rFonts w:hint="eastAsia" w:ascii="仿宋" w:hAnsi="仿宋" w:eastAsia="仿宋"/>
          <w:color w:val="000000"/>
          <w:sz w:val="32"/>
          <w:szCs w:val="32"/>
        </w:rPr>
        <w:t>（图8：“三公”经费财政拨款支出结构）</w:t>
      </w:r>
    </w:p>
    <w:p>
      <w:pPr>
        <w:ind w:firstLine="641"/>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3945255" cy="2281555"/>
            <wp:effectExtent l="19050" t="0" r="16896" b="397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2018年无因公出国（境）经费支出</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无</w:t>
      </w:r>
      <w:r>
        <w:rPr>
          <w:rFonts w:hint="eastAsia" w:ascii="仿宋_GB2312" w:eastAsia="仿宋_GB2312"/>
          <w:b/>
          <w:sz w:val="32"/>
          <w:szCs w:val="32"/>
        </w:rPr>
        <w:t>公务</w:t>
      </w:r>
      <w:r>
        <w:rPr>
          <w:rFonts w:hint="eastAsia" w:ascii="仿宋_GB2312" w:eastAsia="仿宋_GB2312"/>
          <w:b/>
          <w:color w:val="000000"/>
          <w:sz w:val="32"/>
          <w:szCs w:val="32"/>
        </w:rPr>
        <w:t>用车购置及运行维护费支出</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其中：无</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w:t>
      </w:r>
    </w:p>
    <w:p>
      <w:pPr>
        <w:spacing w:line="56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0.22万元，</w:t>
      </w:r>
      <w:r>
        <w:rPr>
          <w:rStyle w:val="15"/>
          <w:rFonts w:hint="eastAsia" w:ascii="仿宋" w:hAnsi="仿宋" w:eastAsia="仿宋"/>
          <w:b w:val="0"/>
          <w:color w:val="000000"/>
          <w:sz w:val="32"/>
          <w:szCs w:val="32"/>
        </w:rPr>
        <w:t>完成预算55</w:t>
      </w:r>
      <w:r>
        <w:rPr>
          <w:rStyle w:val="15"/>
          <w:rFonts w:ascii="仿宋" w:hAnsi="仿宋" w:eastAsia="仿宋"/>
          <w:b w:val="0"/>
          <w:color w:val="000000"/>
          <w:sz w:val="32"/>
          <w:szCs w:val="32"/>
        </w:rPr>
        <w:t>%</w:t>
      </w:r>
      <w:r>
        <w:rPr>
          <w:rStyle w:val="15"/>
          <w:rFonts w:hint="eastAsia" w:ascii="仿宋" w:hAnsi="仿宋" w:eastAsia="仿宋"/>
          <w:b w:val="0"/>
          <w:color w:val="000000"/>
          <w:sz w:val="32"/>
          <w:szCs w:val="32"/>
        </w:rPr>
        <w:t>。</w:t>
      </w:r>
      <w:r>
        <w:rPr>
          <w:rFonts w:hint="eastAsia" w:ascii="仿宋_GB2312" w:eastAsia="仿宋_GB2312"/>
          <w:color w:val="000000"/>
          <w:sz w:val="32"/>
          <w:szCs w:val="32"/>
        </w:rPr>
        <w:t>主要用于执行公务、开展业务活动开支的住宿费、用餐费等。国内公务接待4批次，28人次（不包括陪同人员），共计支出0.22万元。</w:t>
      </w: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8年无政府性基金预算拨款支出。</w:t>
      </w: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8年无国有资本经营预算拨款支出。</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0"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根据预算绩效管理要求，设定了单位的预算整体支出绩效目标，在2018年按照目标要求以及财政下拨的预算经费，认真开展各项工作，严格各项资金的使用和支出。</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（二）</w:t>
      </w: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本单位按要求对2018年部门整体支出绩效评价情况开展自评，《少数民族语言文字文化古籍研究中心</w:t>
      </w:r>
      <w:r>
        <w:rPr>
          <w:rFonts w:hint="eastAsia" w:ascii="仿宋" w:hAnsi="仿宋" w:eastAsia="仿宋" w:cs="仿宋_GB2312"/>
          <w:sz w:val="32"/>
          <w:szCs w:val="32"/>
        </w:rPr>
        <w:t>2</w:t>
      </w:r>
      <w:r>
        <w:rPr>
          <w:rFonts w:hint="eastAsia" w:ascii="仿宋_GB2312" w:hAnsi="仿宋_GB2312" w:eastAsia="仿宋_GB2312" w:cs="仿宋_GB2312"/>
          <w:sz w:val="32"/>
          <w:szCs w:val="32"/>
        </w:rPr>
        <w:t>018年部门整体支出绩效评价报告》见附件。</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2" w:name="_Toc15377223"/>
      <w:r>
        <w:rPr>
          <w:rFonts w:hint="eastAsia" w:ascii="仿宋" w:hAnsi="仿宋" w:eastAsia="仿宋"/>
          <w:b/>
          <w:color w:val="000000"/>
          <w:sz w:val="32"/>
          <w:szCs w:val="32"/>
        </w:rPr>
        <w:t>（一）政府采购支出情况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8年无政府采购支出。</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3" w:name="_Toc15377224"/>
      <w:r>
        <w:rPr>
          <w:rFonts w:hint="eastAsia" w:ascii="仿宋" w:hAnsi="仿宋" w:eastAsia="仿宋"/>
          <w:b/>
          <w:color w:val="000000"/>
          <w:sz w:val="32"/>
          <w:szCs w:val="32"/>
        </w:rPr>
        <w:t>（二）国有资产占有使用情况</w:t>
      </w:r>
      <w:bookmarkEnd w:id="53"/>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hAnsi="仿宋" w:eastAsia="仿宋_GB2312"/>
          <w:sz w:val="32"/>
          <w:szCs w:val="32"/>
        </w:rPr>
        <w:t>单位与阿坝州民宗委合署办公，单位的国有资产由阿坝州民宗委统一管理并安排使用，因此无单独的国有资产占有使用情况。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5"/>
          <w:rFonts w:ascii="黑体" w:hAnsi="黑体" w:eastAsia="黑体"/>
          <w:b w:val="0"/>
        </w:rPr>
      </w:pPr>
      <w:bookmarkStart w:id="54" w:name="_Toc15377225"/>
      <w:bookmarkStart w:id="55" w:name="_Toc15396613"/>
      <w:r>
        <w:rPr>
          <w:rFonts w:hint="eastAsia" w:ascii="黑体" w:hAnsi="黑体" w:eastAsia="黑体"/>
          <w:b/>
          <w:color w:val="000000"/>
          <w:sz w:val="44"/>
          <w:szCs w:val="44"/>
        </w:rPr>
        <w:t>名</w:t>
      </w:r>
      <w:r>
        <w:rPr>
          <w:rStyle w:val="25"/>
          <w:rFonts w:hint="eastAsia" w:ascii="黑体" w:hAnsi="黑体" w:eastAsia="黑体"/>
          <w:b w:val="0"/>
        </w:rPr>
        <w:t>词解释</w:t>
      </w:r>
      <w:bookmarkEnd w:id="54"/>
      <w:bookmarkEnd w:id="55"/>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1.财政拨款收入：指单位从同级财政部门取得的财政预算资金。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2.其他收入：指单位取得的除上述“财政拨款收入”、“事业收入”、“经营收入”等以外的收入。主要是上级拨款收入、利息收入等。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3.年初结转和结余：指以前年度尚未完成、结转到本年按有关规定继续使用的资金。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4.年末结转和结余：指单位按有关规定结转到下年或以后年度继续使用的资金。</w:t>
      </w:r>
    </w:p>
    <w:p>
      <w:pPr>
        <w:spacing w:line="560" w:lineRule="exact"/>
        <w:ind w:firstLine="640" w:firstLineChars="200"/>
        <w:rPr>
          <w:rFonts w:ascii="仿宋_GB2312" w:eastAsia="仿宋_GB2312"/>
          <w:sz w:val="32"/>
          <w:szCs w:val="32"/>
        </w:rPr>
      </w:pPr>
      <w:r>
        <w:rPr>
          <w:rStyle w:val="15"/>
          <w:rFonts w:hint="eastAsia" w:ascii="仿宋_GB2312" w:eastAsia="仿宋_GB2312"/>
          <w:b w:val="0"/>
          <w:sz w:val="32"/>
          <w:szCs w:val="32"/>
        </w:rPr>
        <w:t>5.一般公共服务支出类</w:t>
      </w:r>
      <w:r>
        <w:rPr>
          <w:rFonts w:hint="eastAsia" w:ascii="仿宋_GB2312" w:eastAsia="仿宋_GB2312"/>
          <w:sz w:val="32"/>
          <w:szCs w:val="32"/>
        </w:rPr>
        <w:t>民族事务款行政事业运行项（2012350）:指反映事业单位的基本支出。</w:t>
      </w:r>
    </w:p>
    <w:p>
      <w:pPr>
        <w:spacing w:line="560" w:lineRule="exact"/>
        <w:ind w:firstLine="640" w:firstLineChars="200"/>
        <w:rPr>
          <w:rFonts w:ascii="仿宋_GB2312" w:eastAsia="仿宋_GB2312"/>
          <w:sz w:val="32"/>
          <w:szCs w:val="32"/>
        </w:rPr>
      </w:pPr>
      <w:r>
        <w:rPr>
          <w:rStyle w:val="15"/>
          <w:rFonts w:hint="eastAsia" w:ascii="仿宋_GB2312" w:eastAsia="仿宋_GB2312"/>
          <w:b w:val="0"/>
          <w:sz w:val="32"/>
          <w:szCs w:val="32"/>
        </w:rPr>
        <w:t>6.社会保障和就业支出类行政事业单位离退休款机关事业单位基本养老保险缴费项支出(2080505):</w:t>
      </w:r>
      <w:r>
        <w:rPr>
          <w:rFonts w:hint="eastAsia" w:ascii="仿宋_GB2312" w:eastAsia="仿宋_GB2312"/>
          <w:sz w:val="32"/>
          <w:szCs w:val="32"/>
        </w:rPr>
        <w:t xml:space="preserve"> 指反映机关事业单位实施养老保险制度由单位缴纳的基本养老保险费支出。</w:t>
      </w:r>
    </w:p>
    <w:p>
      <w:pPr>
        <w:spacing w:line="560" w:lineRule="exact"/>
        <w:ind w:firstLine="645"/>
        <w:rPr>
          <w:rFonts w:ascii="仿宋_GB2312" w:eastAsia="仿宋_GB2312"/>
          <w:sz w:val="32"/>
          <w:szCs w:val="32"/>
        </w:rPr>
      </w:pPr>
      <w:r>
        <w:rPr>
          <w:rStyle w:val="15"/>
          <w:rFonts w:hint="eastAsia" w:ascii="仿宋_GB2312" w:eastAsia="仿宋_GB2312"/>
          <w:b w:val="0"/>
          <w:sz w:val="32"/>
          <w:szCs w:val="32"/>
        </w:rPr>
        <w:t>7.社会保障和就业支出类行政事业单位离退休款机关事业单位</w:t>
      </w:r>
      <w:r>
        <w:rPr>
          <w:rFonts w:hint="eastAsia" w:ascii="仿宋_GB2312" w:eastAsia="仿宋_GB2312"/>
          <w:sz w:val="32"/>
          <w:szCs w:val="32"/>
        </w:rPr>
        <w:t>职业年金缴费支出（2080506）: 指反映机关事业单位实施养老保险制度由单位实际缴纳的职业年金支出。</w:t>
      </w:r>
    </w:p>
    <w:p>
      <w:pPr>
        <w:spacing w:line="560" w:lineRule="exact"/>
        <w:ind w:firstLine="675"/>
        <w:rPr>
          <w:rFonts w:ascii="仿宋_GB2312" w:eastAsia="仿宋_GB2312"/>
          <w:sz w:val="32"/>
          <w:szCs w:val="32"/>
        </w:rPr>
      </w:pPr>
      <w:r>
        <w:rPr>
          <w:rStyle w:val="15"/>
          <w:rFonts w:hint="eastAsia" w:ascii="仿宋_GB2312" w:eastAsia="仿宋_GB2312"/>
          <w:b w:val="0"/>
          <w:sz w:val="32"/>
          <w:szCs w:val="32"/>
        </w:rPr>
        <w:t>8.医疗卫生与计划生育支出类医疗保障款行政单位医疗项(2101102):</w:t>
      </w:r>
      <w:r>
        <w:rPr>
          <w:rFonts w:hint="eastAsia" w:ascii="仿宋_GB2312" w:eastAsia="仿宋_GB2312"/>
          <w:sz w:val="32"/>
          <w:szCs w:val="32"/>
        </w:rPr>
        <w:t xml:space="preserve"> 指反映财政部门集中安排的事业单位基本医疗保险缴费经费，未参加医疗保险的事业单位的公费医疗经费，按国家规定享受离休人员的医疗经费。</w:t>
      </w:r>
    </w:p>
    <w:p>
      <w:pPr>
        <w:spacing w:line="560" w:lineRule="exact"/>
        <w:ind w:firstLine="675"/>
        <w:rPr>
          <w:rFonts w:ascii="仿宋_GB2312" w:eastAsia="仿宋_GB2312"/>
          <w:sz w:val="32"/>
          <w:szCs w:val="32"/>
        </w:rPr>
      </w:pPr>
      <w:r>
        <w:rPr>
          <w:rFonts w:hint="eastAsia" w:ascii="仿宋_GB2312" w:eastAsia="仿宋_GB2312"/>
          <w:sz w:val="32"/>
          <w:szCs w:val="32"/>
        </w:rPr>
        <w:t xml:space="preserve">9.住房保障支出类住房改革支出款住房公积金项(2210201): 指反映行政事业单位按人力资源和社会保障部、财政部规定的基本工资和津贴补贴以及规定比例为职工缴纳的住房公积金。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11.项目支出：指在基本支出之外为完成特定行政任务和事业发展目标所发生的支出。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13.“三公”经费：“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hint="eastAsia" w:ascii="黑体" w:hAnsi="黑体" w:eastAsia="黑体"/>
          <w:color w:val="000000"/>
          <w:sz w:val="44"/>
          <w:szCs w:val="44"/>
        </w:rPr>
      </w:pPr>
      <w:bookmarkStart w:id="56" w:name="_Toc15396614"/>
      <w:bookmarkStart w:id="57"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6"/>
    </w:p>
    <w:p>
      <w:pPr>
        <w:spacing w:line="600" w:lineRule="exact"/>
        <w:jc w:val="center"/>
        <w:outlineLvl w:val="0"/>
        <w:rPr>
          <w:rStyle w:val="25"/>
        </w:rPr>
      </w:pPr>
    </w:p>
    <w:p>
      <w:pPr>
        <w:pStyle w:val="3"/>
        <w:rPr>
          <w:rStyle w:val="25"/>
          <w:rFonts w:ascii="仿宋" w:hAnsi="仿宋" w:eastAsia="仿宋"/>
          <w:b w:val="0"/>
          <w:bCs w:val="0"/>
          <w:sz w:val="32"/>
          <w:szCs w:val="32"/>
        </w:rPr>
      </w:pPr>
      <w:bookmarkStart w:id="58" w:name="_Toc15396615"/>
      <w:bookmarkStart w:id="59" w:name="_Toc15396618"/>
      <w:r>
        <w:rPr>
          <w:rStyle w:val="25"/>
          <w:rFonts w:hint="eastAsia" w:ascii="仿宋" w:hAnsi="仿宋" w:eastAsia="仿宋"/>
          <w:b w:val="0"/>
          <w:bCs w:val="0"/>
          <w:sz w:val="32"/>
          <w:szCs w:val="32"/>
        </w:rPr>
        <w:t>附件1</w:t>
      </w:r>
      <w:bookmarkEnd w:id="58"/>
    </w:p>
    <w:p/>
    <w:p>
      <w:pPr>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少数民族语言文字文化古籍研究中心</w:t>
      </w:r>
    </w:p>
    <w:p>
      <w:pPr>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2018年部门整体支出绩效评价报告</w:t>
      </w:r>
    </w:p>
    <w:p>
      <w:pPr>
        <w:widowControl/>
        <w:spacing w:line="560" w:lineRule="exact"/>
        <w:ind w:firstLine="472"/>
        <w:rPr>
          <w:rFonts w:eastAsia="方正仿宋_GBK"/>
          <w:color w:val="000000"/>
          <w:spacing w:val="-2"/>
          <w:kern w:val="0"/>
          <w:sz w:val="32"/>
          <w:szCs w:val="32"/>
        </w:rPr>
      </w:pPr>
    </w:p>
    <w:p>
      <w:pPr>
        <w:widowControl/>
        <w:spacing w:line="560" w:lineRule="atLeast"/>
        <w:ind w:firstLine="628" w:firstLineChars="199"/>
        <w:rPr>
          <w:rFonts w:ascii="仿宋" w:hAnsi="仿宋" w:eastAsia="仿宋"/>
          <w:color w:val="000000"/>
          <w:spacing w:val="-2"/>
          <w:kern w:val="0"/>
          <w:sz w:val="32"/>
          <w:szCs w:val="32"/>
        </w:rPr>
      </w:pPr>
      <w:r>
        <w:rPr>
          <w:rFonts w:hint="eastAsia" w:ascii="仿宋" w:hAnsi="仿宋" w:eastAsia="仿宋"/>
          <w:color w:val="000000"/>
          <w:spacing w:val="-2"/>
          <w:kern w:val="0"/>
          <w:sz w:val="32"/>
          <w:szCs w:val="32"/>
        </w:rPr>
        <w:t>根据阿坝州财政局《关于开展</w:t>
      </w:r>
      <w:r>
        <w:rPr>
          <w:rFonts w:ascii="仿宋" w:hAnsi="仿宋" w:eastAsia="仿宋"/>
          <w:color w:val="000000"/>
          <w:spacing w:val="-2"/>
          <w:kern w:val="0"/>
          <w:sz w:val="32"/>
          <w:szCs w:val="32"/>
        </w:rPr>
        <w:t>201</w:t>
      </w:r>
      <w:r>
        <w:rPr>
          <w:rFonts w:hint="eastAsia" w:ascii="仿宋" w:hAnsi="仿宋" w:eastAsia="仿宋"/>
          <w:color w:val="000000"/>
          <w:spacing w:val="-2"/>
          <w:kern w:val="0"/>
          <w:sz w:val="32"/>
          <w:szCs w:val="32"/>
        </w:rPr>
        <w:t>9年财政支出绩效评价工作的通知》</w:t>
      </w:r>
      <w:r>
        <w:rPr>
          <w:rFonts w:ascii="仿宋" w:hAnsi="仿宋" w:eastAsia="仿宋"/>
          <w:color w:val="000000"/>
          <w:spacing w:val="-2"/>
          <w:kern w:val="0"/>
          <w:sz w:val="32"/>
          <w:szCs w:val="32"/>
        </w:rPr>
        <w:t>(</w:t>
      </w:r>
      <w:r>
        <w:rPr>
          <w:rFonts w:hint="eastAsia" w:ascii="仿宋" w:hAnsi="仿宋" w:eastAsia="仿宋"/>
          <w:color w:val="000000"/>
          <w:spacing w:val="-2"/>
          <w:kern w:val="0"/>
          <w:sz w:val="32"/>
          <w:szCs w:val="32"/>
        </w:rPr>
        <w:t>阿州财预〔</w:t>
      </w:r>
      <w:r>
        <w:rPr>
          <w:rFonts w:ascii="仿宋" w:hAnsi="仿宋" w:eastAsia="仿宋"/>
          <w:color w:val="000000"/>
          <w:spacing w:val="-2"/>
          <w:kern w:val="0"/>
          <w:sz w:val="32"/>
          <w:szCs w:val="32"/>
        </w:rPr>
        <w:t>201</w:t>
      </w:r>
      <w:r>
        <w:rPr>
          <w:rFonts w:hint="eastAsia" w:ascii="仿宋" w:hAnsi="仿宋" w:eastAsia="仿宋"/>
          <w:color w:val="000000"/>
          <w:spacing w:val="-2"/>
          <w:kern w:val="0"/>
          <w:sz w:val="32"/>
          <w:szCs w:val="32"/>
        </w:rPr>
        <w:t>9〕38号）文件，我单位及时对</w:t>
      </w:r>
      <w:r>
        <w:rPr>
          <w:rFonts w:ascii="仿宋" w:hAnsi="仿宋" w:eastAsia="仿宋"/>
          <w:color w:val="000000"/>
          <w:spacing w:val="-2"/>
          <w:kern w:val="0"/>
          <w:sz w:val="32"/>
          <w:szCs w:val="32"/>
        </w:rPr>
        <w:t>201</w:t>
      </w:r>
      <w:r>
        <w:rPr>
          <w:rFonts w:hint="eastAsia" w:ascii="仿宋" w:hAnsi="仿宋" w:eastAsia="仿宋"/>
          <w:color w:val="000000"/>
          <w:spacing w:val="-2"/>
          <w:kern w:val="0"/>
          <w:sz w:val="32"/>
          <w:szCs w:val="32"/>
        </w:rPr>
        <w:t>8年度全年的整体支出绩效情况进行了自查，现就相关情况报告如下：</w:t>
      </w:r>
    </w:p>
    <w:p>
      <w:pPr>
        <w:widowControl/>
        <w:spacing w:line="560" w:lineRule="atLeast"/>
        <w:ind w:firstLine="472"/>
        <w:rPr>
          <w:rFonts w:ascii="黑体" w:eastAsia="黑体"/>
          <w:color w:val="000000"/>
          <w:spacing w:val="-2"/>
          <w:kern w:val="0"/>
          <w:sz w:val="32"/>
          <w:szCs w:val="32"/>
        </w:rPr>
      </w:pPr>
      <w:r>
        <w:rPr>
          <w:rFonts w:ascii="黑体" w:eastAsia="黑体"/>
          <w:color w:val="000000"/>
          <w:spacing w:val="-2"/>
          <w:kern w:val="0"/>
          <w:sz w:val="32"/>
          <w:szCs w:val="32"/>
        </w:rPr>
        <w:t xml:space="preserve">  </w:t>
      </w:r>
      <w:r>
        <w:rPr>
          <w:rFonts w:hint="eastAsia" w:ascii="黑体" w:eastAsia="黑体"/>
          <w:color w:val="000000"/>
          <w:spacing w:val="-2"/>
          <w:kern w:val="0"/>
          <w:sz w:val="32"/>
          <w:szCs w:val="32"/>
        </w:rPr>
        <w:t>一、部门概况</w:t>
      </w:r>
    </w:p>
    <w:p>
      <w:pPr>
        <w:widowControl/>
        <w:spacing w:line="560" w:lineRule="atLeast"/>
        <w:rPr>
          <w:rFonts w:ascii="楷体" w:hAnsi="楷体" w:eastAsia="楷体"/>
          <w:b/>
          <w:color w:val="000000"/>
          <w:spacing w:val="-2"/>
          <w:kern w:val="0"/>
          <w:sz w:val="32"/>
          <w:szCs w:val="32"/>
        </w:rPr>
      </w:pPr>
      <w:r>
        <w:rPr>
          <w:rFonts w:eastAsia="方正仿宋_GBK"/>
          <w:color w:val="000000"/>
          <w:spacing w:val="-2"/>
          <w:kern w:val="0"/>
          <w:sz w:val="32"/>
          <w:szCs w:val="32"/>
        </w:rPr>
        <w:t xml:space="preserve"> </w:t>
      </w:r>
      <w:r>
        <w:rPr>
          <w:rFonts w:eastAsia="方正仿宋_GBK"/>
          <w:b/>
          <w:color w:val="000000"/>
          <w:spacing w:val="-2"/>
          <w:kern w:val="0"/>
          <w:sz w:val="32"/>
          <w:szCs w:val="32"/>
        </w:rPr>
        <w:t xml:space="preserve">   </w:t>
      </w:r>
      <w:r>
        <w:rPr>
          <w:rFonts w:ascii="楷体" w:hAnsi="楷体" w:eastAsia="楷体"/>
          <w:b/>
          <w:color w:val="000000"/>
          <w:spacing w:val="-2"/>
          <w:kern w:val="0"/>
          <w:sz w:val="32"/>
          <w:szCs w:val="32"/>
        </w:rPr>
        <w:t xml:space="preserve"> </w:t>
      </w:r>
      <w:r>
        <w:rPr>
          <w:rFonts w:hint="eastAsia" w:ascii="楷体" w:hAnsi="楷体" w:eastAsia="楷体"/>
          <w:b/>
          <w:color w:val="000000"/>
          <w:spacing w:val="-2"/>
          <w:kern w:val="0"/>
          <w:sz w:val="32"/>
          <w:szCs w:val="32"/>
        </w:rPr>
        <w:t>（一）机构组成</w:t>
      </w:r>
    </w:p>
    <w:p>
      <w:pPr>
        <w:pStyle w:val="5"/>
        <w:spacing w:before="93" w:line="448" w:lineRule="atLeast"/>
        <w:ind w:firstLine="640" w:firstLineChars="200"/>
        <w:rPr>
          <w:sz w:val="32"/>
          <w:szCs w:val="32"/>
        </w:rPr>
      </w:pPr>
      <w:r>
        <w:rPr>
          <w:rFonts w:hint="eastAsia"/>
          <w:sz w:val="32"/>
          <w:szCs w:val="32"/>
        </w:rPr>
        <w:t>阿坝州少数民族语言文字文化古籍研究中心，阿坝州民宗委培训教育中心，阿坝州民宗委涉宗网络监管中心均是阿坝州民宗委的下属正科级事业单位。2018年部门预算中单独下拨事业经费（包括州民宗委的直属正科级事业单位涉宗网络监管中心，培训教育中心）。在2018年的部门决算中的数据无上年数与之进行比较。单位事业编制10名，年末实有人数9人。</w:t>
      </w:r>
    </w:p>
    <w:p>
      <w:pPr>
        <w:spacing w:line="560" w:lineRule="atLeast"/>
        <w:ind w:firstLine="635" w:firstLineChars="200"/>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（二）机构职能</w:t>
      </w:r>
    </w:p>
    <w:p>
      <w:pPr>
        <w:pStyle w:val="5"/>
        <w:adjustRightInd w:val="0"/>
        <w:snapToGrid w:val="0"/>
        <w:spacing w:before="93" w:line="600" w:lineRule="exact"/>
        <w:ind w:firstLine="600" w:firstLineChars="200"/>
        <w:outlineLvl w:val="2"/>
      </w:pPr>
      <w:r>
        <w:rPr>
          <w:rFonts w:hint="eastAsia"/>
        </w:rPr>
        <w:t>1.</w:t>
      </w:r>
      <w:r>
        <w:t>少数民族语言文字古籍文化研究中心：负责研究全州少数民族语言文字的规范使用等课题；负责研究少数民族文化保护、承传、弘扬开发利用等课题；负责研究少数民族古籍的挖掘、收集整理、修复、保护等课题。</w:t>
      </w:r>
    </w:p>
    <w:p>
      <w:pPr>
        <w:pStyle w:val="5"/>
        <w:adjustRightInd w:val="0"/>
        <w:snapToGrid w:val="0"/>
        <w:spacing w:before="93" w:line="600" w:lineRule="exact"/>
        <w:ind w:firstLine="600" w:firstLineChars="200"/>
        <w:outlineLvl w:val="2"/>
      </w:pPr>
      <w:r>
        <w:rPr>
          <w:rFonts w:hint="eastAsia"/>
        </w:rPr>
        <w:t>2.</w:t>
      </w:r>
      <w:r>
        <w:t>教育培训中心工作职责：负责对全州范围内的僧人、寺管会成员、重要僧职人员、宗教团体组成人员的培训工作；加强宗教界人士的政治教育和法制教育，引导宗教界人士深入学习领会党的民族宗教政策，增强宗教界人士的国家意识、公民意识和法律意识，使宗教界人士充分了解藏区历史变迁和发展成就，引导宗教界对教义教规做出适应社会主义社会的新阐释；负责全州宗教工作干部的培训工作，不断提高宗教工作干部政治、理论素质，提高他们依法行政的能力，全面推进依法管理宗教事务的进程。</w:t>
      </w:r>
      <w:r>
        <w:rPr>
          <w:rFonts w:hint="eastAsia"/>
        </w:rPr>
        <w:t xml:space="preserve">            </w:t>
      </w:r>
    </w:p>
    <w:p>
      <w:pPr>
        <w:pStyle w:val="5"/>
        <w:adjustRightInd w:val="0"/>
        <w:snapToGrid w:val="0"/>
        <w:spacing w:before="93" w:line="600" w:lineRule="exact"/>
        <w:ind w:firstLine="600" w:firstLineChars="200"/>
        <w:outlineLvl w:val="2"/>
      </w:pPr>
      <w:r>
        <w:rPr>
          <w:rFonts w:hint="eastAsia"/>
        </w:rPr>
        <w:t>3.</w:t>
      </w:r>
      <w:r>
        <w:t>涉宗网络监管中心职责：负责互联网上所有涉宗信息、动态、文章以及宗教活动场所、宗教教职人员言论进行监管；对全州宗教场所建门户网进行审核，同时对已建的宗教活动场所门户网进行监管；开展本局门户网建设工作。收集所有涉及宗教维稳信息的收集，对收集的各类信息进行分类，形成初步研判；对有关信息进行专题调研，形成报告；为局领导决策提供信息分析材料。</w:t>
      </w:r>
    </w:p>
    <w:p>
      <w:pPr>
        <w:widowControl/>
        <w:spacing w:line="560" w:lineRule="atLeast"/>
        <w:ind w:firstLine="472"/>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（三）人员概况</w:t>
      </w:r>
    </w:p>
    <w:p>
      <w:pPr>
        <w:spacing w:line="560" w:lineRule="atLeast"/>
        <w:ind w:firstLine="630"/>
        <w:rPr>
          <w:rFonts w:ascii="仿宋" w:hAnsi="仿宋" w:eastAsia="仿宋"/>
          <w:sz w:val="32"/>
          <w:szCs w:val="32"/>
        </w:rPr>
      </w:pPr>
      <w:r>
        <w:rPr>
          <w:rFonts w:hint="eastAsia" w:ascii="仿宋" w:hAnsi="仿宋" w:eastAsia="仿宋"/>
          <w:sz w:val="32"/>
          <w:szCs w:val="32"/>
        </w:rPr>
        <w:t>在职人员总数9人，均为事业人员。</w:t>
      </w:r>
    </w:p>
    <w:p>
      <w:pPr>
        <w:widowControl/>
        <w:spacing w:line="560" w:lineRule="atLeast"/>
        <w:ind w:firstLine="632" w:firstLineChars="200"/>
        <w:rPr>
          <w:rFonts w:ascii="黑体" w:eastAsia="黑体"/>
          <w:color w:val="000000"/>
          <w:spacing w:val="-2"/>
          <w:kern w:val="0"/>
          <w:sz w:val="32"/>
          <w:szCs w:val="32"/>
        </w:rPr>
      </w:pPr>
      <w:r>
        <w:rPr>
          <w:rFonts w:hint="eastAsia" w:ascii="黑体" w:eastAsia="黑体"/>
          <w:color w:val="000000"/>
          <w:spacing w:val="-2"/>
          <w:kern w:val="0"/>
          <w:sz w:val="32"/>
          <w:szCs w:val="32"/>
        </w:rPr>
        <w:t>二、部门财政资金收支情况</w:t>
      </w:r>
    </w:p>
    <w:p>
      <w:pPr>
        <w:widowControl/>
        <w:spacing w:line="560" w:lineRule="atLeast"/>
        <w:ind w:firstLine="472"/>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（一）部门财政资金收入情况</w:t>
      </w:r>
    </w:p>
    <w:p>
      <w:pPr>
        <w:spacing w:line="560" w:lineRule="atLeas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8年财政拨款预算收入160.72万元，其中</w:t>
      </w:r>
      <w:r>
        <w:rPr>
          <w:rFonts w:ascii="仿宋" w:hAnsi="仿宋" w:eastAsia="仿宋"/>
          <w:sz w:val="32"/>
          <w:szCs w:val="32"/>
        </w:rPr>
        <w:t>:</w:t>
      </w:r>
      <w:r>
        <w:rPr>
          <w:rFonts w:hint="eastAsia" w:ascii="仿宋" w:hAnsi="仿宋" w:eastAsia="仿宋"/>
          <w:sz w:val="32"/>
          <w:szCs w:val="32"/>
        </w:rPr>
        <w:t>机关事业单位基本养老保险支出14.15万元，机关事业单位职业年金缴费支出5.65万元，事业单位医疗5.96万元，其他行政事业单位医疗支出1.23万元，事业运行123.12万元，一般行住房公积金支出10.61万元。</w:t>
      </w:r>
    </w:p>
    <w:p>
      <w:pPr>
        <w:widowControl/>
        <w:spacing w:line="560" w:lineRule="atLeast"/>
        <w:ind w:firstLine="635" w:firstLineChars="200"/>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（二）部门财政资金支出情况</w:t>
      </w:r>
    </w:p>
    <w:p>
      <w:pPr>
        <w:widowControl/>
        <w:spacing w:line="560" w:lineRule="atLeast"/>
        <w:ind w:firstLine="632" w:firstLineChars="200"/>
        <w:rPr>
          <w:rFonts w:ascii="仿宋" w:hAnsi="仿宋" w:eastAsia="仿宋"/>
          <w:sz w:val="32"/>
          <w:szCs w:val="32"/>
        </w:rPr>
      </w:pPr>
      <w:r>
        <w:rPr>
          <w:rFonts w:ascii="仿宋" w:hAnsi="仿宋" w:eastAsia="仿宋"/>
          <w:color w:val="000000"/>
          <w:spacing w:val="-2"/>
          <w:kern w:val="0"/>
          <w:sz w:val="32"/>
          <w:szCs w:val="32"/>
        </w:rPr>
        <w:t>201</w:t>
      </w:r>
      <w:r>
        <w:rPr>
          <w:rFonts w:hint="eastAsia" w:ascii="仿宋" w:hAnsi="仿宋" w:eastAsia="仿宋"/>
          <w:color w:val="000000"/>
          <w:spacing w:val="-2"/>
          <w:kern w:val="0"/>
          <w:sz w:val="32"/>
          <w:szCs w:val="32"/>
        </w:rPr>
        <w:t>8年度</w:t>
      </w:r>
      <w:r>
        <w:rPr>
          <w:rFonts w:hint="eastAsia" w:ascii="仿宋" w:hAnsi="仿宋" w:eastAsia="仿宋"/>
          <w:sz w:val="32"/>
          <w:szCs w:val="32"/>
        </w:rPr>
        <w:t>单位实际财政拨款支出158.92万元，其中：</w:t>
      </w:r>
    </w:p>
    <w:p>
      <w:pPr>
        <w:widowControl/>
        <w:spacing w:line="560" w:lineRule="atLeast"/>
        <w:ind w:firstLine="640" w:firstLineChars="200"/>
        <w:rPr>
          <w:rFonts w:ascii="仿宋" w:hAnsi="仿宋" w:eastAsia="仿宋"/>
          <w:sz w:val="32"/>
          <w:szCs w:val="32"/>
        </w:rPr>
      </w:pPr>
      <w:r>
        <w:rPr>
          <w:rFonts w:hint="eastAsia" w:ascii="仿宋" w:hAnsi="仿宋" w:eastAsia="仿宋"/>
          <w:sz w:val="32"/>
          <w:szCs w:val="32"/>
        </w:rPr>
        <w:t>一是工资福利支出140.37万元。</w:t>
      </w:r>
    </w:p>
    <w:p>
      <w:pPr>
        <w:spacing w:line="600" w:lineRule="exact"/>
        <w:ind w:firstLine="645"/>
        <w:rPr>
          <w:rFonts w:ascii="仿宋" w:hAnsi="仿宋" w:eastAsia="仿宋"/>
          <w:color w:val="000000"/>
          <w:sz w:val="32"/>
          <w:szCs w:val="32"/>
        </w:rPr>
      </w:pPr>
      <w:r>
        <w:rPr>
          <w:rFonts w:hint="eastAsia" w:ascii="仿宋" w:hAnsi="仿宋" w:eastAsia="仿宋"/>
          <w:sz w:val="32"/>
          <w:szCs w:val="32"/>
        </w:rPr>
        <w:t>二是商品和服务支出18.01万元。其中：</w:t>
      </w:r>
      <w:r>
        <w:rPr>
          <w:rFonts w:hint="eastAsia" w:ascii="仿宋" w:hAnsi="仿宋" w:eastAsia="仿宋"/>
          <w:color w:val="000000"/>
          <w:sz w:val="32"/>
          <w:szCs w:val="32"/>
        </w:rPr>
        <w:t>办公费4.75万元、电费1.04万元、邮电费3.62万元、差旅费8.25万元、公务接待费0.22万元、劳务费0.13万元。</w:t>
      </w:r>
    </w:p>
    <w:p>
      <w:pPr>
        <w:widowControl/>
        <w:spacing w:line="560" w:lineRule="atLeast"/>
        <w:ind w:firstLine="640" w:firstLineChars="200"/>
        <w:rPr>
          <w:rFonts w:ascii="仿宋" w:hAnsi="仿宋" w:eastAsia="仿宋"/>
          <w:sz w:val="32"/>
          <w:szCs w:val="32"/>
        </w:rPr>
      </w:pPr>
      <w:r>
        <w:rPr>
          <w:rFonts w:hint="eastAsia" w:ascii="仿宋" w:hAnsi="仿宋" w:eastAsia="仿宋"/>
          <w:sz w:val="32"/>
          <w:szCs w:val="32"/>
        </w:rPr>
        <w:t>三是对个人和家庭补助支出0.54万元。</w:t>
      </w:r>
    </w:p>
    <w:p>
      <w:pPr>
        <w:widowControl/>
        <w:spacing w:line="560" w:lineRule="atLeast"/>
        <w:ind w:firstLine="632" w:firstLineChars="200"/>
        <w:rPr>
          <w:rFonts w:ascii="黑体" w:eastAsia="黑体"/>
          <w:color w:val="000000"/>
          <w:spacing w:val="-2"/>
          <w:kern w:val="0"/>
          <w:sz w:val="32"/>
          <w:szCs w:val="32"/>
        </w:rPr>
      </w:pPr>
      <w:r>
        <w:rPr>
          <w:rFonts w:hint="eastAsia" w:ascii="黑体" w:eastAsia="黑体"/>
          <w:color w:val="000000"/>
          <w:spacing w:val="-2"/>
          <w:kern w:val="0"/>
          <w:sz w:val="32"/>
          <w:szCs w:val="32"/>
        </w:rPr>
        <w:t>三、部门整体预算绩效管理情况</w:t>
      </w:r>
    </w:p>
    <w:p>
      <w:pPr>
        <w:widowControl/>
        <w:spacing w:line="560" w:lineRule="atLeast"/>
        <w:ind w:firstLine="635" w:firstLineChars="200"/>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（一）部门预算管理</w:t>
      </w:r>
    </w:p>
    <w:p>
      <w:pPr>
        <w:widowControl/>
        <w:spacing w:line="560" w:lineRule="atLeast"/>
        <w:ind w:firstLine="632" w:firstLineChars="200"/>
        <w:rPr>
          <w:rFonts w:ascii="仿宋" w:hAnsi="仿宋" w:eastAsia="仿宋"/>
          <w:color w:val="000000"/>
          <w:spacing w:val="-2"/>
          <w:kern w:val="0"/>
          <w:sz w:val="32"/>
          <w:szCs w:val="32"/>
        </w:rPr>
      </w:pPr>
      <w:r>
        <w:rPr>
          <w:rFonts w:hint="eastAsia" w:ascii="仿宋" w:hAnsi="仿宋" w:eastAsia="仿宋"/>
          <w:color w:val="000000"/>
          <w:spacing w:val="-2"/>
          <w:kern w:val="0"/>
          <w:sz w:val="32"/>
          <w:szCs w:val="32"/>
        </w:rPr>
        <w:t>按照预算编制管理要求，单位及时安排人员认真进行预算编制，根据单位的工作职能及年度工作任务，实事求是，认真负责的编制年度预算，同时按照预算编报要求，认真制定了单位的年度绩效目标。在录入预算系统时，准确录入预算基本信息、人员信息、做到预算真实。</w:t>
      </w:r>
    </w:p>
    <w:p>
      <w:pPr>
        <w:widowControl/>
        <w:spacing w:line="560" w:lineRule="atLeast"/>
        <w:ind w:firstLine="635" w:firstLineChars="200"/>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（二）专项预算管理</w:t>
      </w:r>
    </w:p>
    <w:p>
      <w:pPr>
        <w:widowControl/>
        <w:spacing w:line="560" w:lineRule="atLeast"/>
        <w:ind w:firstLine="632" w:firstLineChars="200"/>
        <w:rPr>
          <w:rFonts w:ascii="仿宋" w:hAnsi="仿宋" w:eastAsia="仿宋"/>
          <w:color w:val="000000"/>
          <w:spacing w:val="-2"/>
          <w:kern w:val="0"/>
          <w:sz w:val="32"/>
          <w:szCs w:val="32"/>
        </w:rPr>
      </w:pPr>
      <w:r>
        <w:rPr>
          <w:rFonts w:hint="eastAsia" w:ascii="仿宋" w:hAnsi="仿宋" w:eastAsia="仿宋"/>
          <w:color w:val="000000"/>
          <w:spacing w:val="-2"/>
          <w:kern w:val="0"/>
          <w:sz w:val="32"/>
          <w:szCs w:val="32"/>
        </w:rPr>
        <w:t>单位2018年度无专项预算资金。</w:t>
      </w:r>
    </w:p>
    <w:p>
      <w:pPr>
        <w:widowControl/>
        <w:spacing w:line="560" w:lineRule="atLeast"/>
        <w:ind w:firstLine="793" w:firstLineChars="250"/>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 xml:space="preserve">（三）结果应用情况 </w:t>
      </w:r>
    </w:p>
    <w:p>
      <w:pPr>
        <w:widowControl/>
        <w:spacing w:line="560" w:lineRule="atLeast"/>
        <w:ind w:firstLine="790" w:firstLineChars="250"/>
        <w:rPr>
          <w:rFonts w:ascii="仿宋" w:hAnsi="仿宋" w:eastAsia="仿宋"/>
          <w:color w:val="000000"/>
          <w:spacing w:val="-2"/>
          <w:kern w:val="0"/>
          <w:sz w:val="32"/>
          <w:szCs w:val="32"/>
        </w:rPr>
      </w:pPr>
      <w:r>
        <w:rPr>
          <w:rFonts w:hint="eastAsia" w:ascii="仿宋" w:hAnsi="仿宋" w:eastAsia="仿宋"/>
          <w:color w:val="000000"/>
          <w:spacing w:val="-2"/>
          <w:kern w:val="0"/>
          <w:sz w:val="32"/>
          <w:szCs w:val="32"/>
        </w:rPr>
        <w:t>本单位的财政预算经费主要用于单位的基本支出，保障单位的人员经费及基本工作运转，在单位的财务管理工作中，认真落实岗位责任制度，积极推行以</w:t>
      </w:r>
      <w:r>
        <w:rPr>
          <w:rFonts w:ascii="仿宋" w:hAnsi="仿宋" w:eastAsia="仿宋"/>
          <w:color w:val="000000"/>
          <w:spacing w:val="-2"/>
          <w:kern w:val="0"/>
          <w:sz w:val="32"/>
          <w:szCs w:val="32"/>
        </w:rPr>
        <w:t>“</w:t>
      </w:r>
      <w:r>
        <w:rPr>
          <w:rFonts w:hint="eastAsia" w:ascii="仿宋" w:hAnsi="仿宋" w:eastAsia="仿宋"/>
          <w:color w:val="000000"/>
          <w:spacing w:val="-2"/>
          <w:kern w:val="0"/>
          <w:sz w:val="32"/>
          <w:szCs w:val="32"/>
        </w:rPr>
        <w:t>制度管人</w:t>
      </w:r>
      <w:r>
        <w:rPr>
          <w:rFonts w:ascii="仿宋" w:hAnsi="仿宋" w:eastAsia="仿宋"/>
          <w:color w:val="000000"/>
          <w:spacing w:val="-2"/>
          <w:kern w:val="0"/>
          <w:sz w:val="32"/>
          <w:szCs w:val="32"/>
        </w:rPr>
        <w:t>”</w:t>
      </w:r>
      <w:r>
        <w:rPr>
          <w:rFonts w:hint="eastAsia" w:ascii="仿宋" w:hAnsi="仿宋" w:eastAsia="仿宋"/>
          <w:color w:val="000000"/>
          <w:spacing w:val="-2"/>
          <w:kern w:val="0"/>
          <w:sz w:val="32"/>
          <w:szCs w:val="32"/>
        </w:rPr>
        <w:t>的工作理念，进一步完善单位各项财务管理制度，并认真对照制度切实开展好各项工作。2018年单位的整体支出绩效评价接受了第三方的评价。2018年工作获得州委州政府目标绩效管理考核一等奖。</w:t>
      </w:r>
    </w:p>
    <w:p>
      <w:pPr>
        <w:widowControl/>
        <w:spacing w:line="560" w:lineRule="atLeast"/>
        <w:ind w:firstLine="790" w:firstLineChars="250"/>
        <w:rPr>
          <w:rFonts w:ascii="黑体" w:eastAsia="黑体"/>
          <w:color w:val="000000"/>
          <w:spacing w:val="-2"/>
          <w:kern w:val="0"/>
          <w:sz w:val="32"/>
          <w:szCs w:val="32"/>
        </w:rPr>
      </w:pPr>
      <w:r>
        <w:rPr>
          <w:rFonts w:hint="eastAsia" w:ascii="黑体" w:eastAsia="黑体"/>
          <w:color w:val="000000"/>
          <w:spacing w:val="-2"/>
          <w:kern w:val="0"/>
          <w:sz w:val="32"/>
          <w:szCs w:val="32"/>
        </w:rPr>
        <w:t>四、评价结论及建议</w:t>
      </w:r>
    </w:p>
    <w:p>
      <w:pPr>
        <w:widowControl/>
        <w:spacing w:line="560" w:lineRule="atLeast"/>
        <w:ind w:firstLine="793" w:firstLineChars="250"/>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（一）评价结论</w:t>
      </w:r>
    </w:p>
    <w:p>
      <w:pPr>
        <w:widowControl/>
        <w:spacing w:line="560" w:lineRule="atLeast"/>
        <w:ind w:firstLine="790" w:firstLineChars="250"/>
        <w:rPr>
          <w:rFonts w:ascii="仿宋" w:hAnsi="仿宋" w:eastAsia="仿宋"/>
          <w:color w:val="000000"/>
          <w:spacing w:val="-2"/>
          <w:kern w:val="0"/>
          <w:sz w:val="32"/>
          <w:szCs w:val="32"/>
        </w:rPr>
      </w:pPr>
      <w:r>
        <w:rPr>
          <w:rFonts w:hint="eastAsia" w:ascii="仿宋" w:hAnsi="仿宋" w:eastAsia="仿宋"/>
          <w:color w:val="000000"/>
          <w:spacing w:val="-2"/>
          <w:kern w:val="0"/>
          <w:sz w:val="32"/>
          <w:szCs w:val="32"/>
        </w:rPr>
        <w:t>经过我委对</w:t>
      </w:r>
      <w:r>
        <w:rPr>
          <w:rFonts w:ascii="仿宋" w:hAnsi="仿宋" w:eastAsia="仿宋"/>
          <w:color w:val="000000"/>
          <w:spacing w:val="-2"/>
          <w:kern w:val="0"/>
          <w:sz w:val="32"/>
          <w:szCs w:val="32"/>
        </w:rPr>
        <w:t>201</w:t>
      </w:r>
      <w:r>
        <w:rPr>
          <w:rFonts w:hint="eastAsia" w:ascii="仿宋" w:hAnsi="仿宋" w:eastAsia="仿宋"/>
          <w:color w:val="000000"/>
          <w:spacing w:val="-2"/>
          <w:kern w:val="0"/>
          <w:sz w:val="32"/>
          <w:szCs w:val="32"/>
        </w:rPr>
        <w:t>8年度的整体支出绩效情况的自查，我委的财政各项资金使用安全有效，预算资金的使用有力地保障了单位人员的基本支出，为开展少数</w:t>
      </w:r>
      <w:bookmarkStart w:id="73" w:name="_GoBack"/>
      <w:bookmarkEnd w:id="73"/>
      <w:r>
        <w:rPr>
          <w:rFonts w:hint="eastAsia" w:ascii="仿宋" w:hAnsi="仿宋" w:eastAsia="仿宋"/>
          <w:color w:val="000000"/>
          <w:spacing w:val="-2"/>
          <w:kern w:val="0"/>
          <w:sz w:val="32"/>
          <w:szCs w:val="32"/>
        </w:rPr>
        <w:t>民族语言文字文化古籍研究、培训教育，涉宗网络监管工作奠定了基础。</w:t>
      </w:r>
    </w:p>
    <w:p>
      <w:pPr>
        <w:widowControl/>
        <w:spacing w:line="560" w:lineRule="atLeast"/>
        <w:ind w:firstLine="793" w:firstLineChars="250"/>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（二）存在问题</w:t>
      </w:r>
    </w:p>
    <w:p>
      <w:pPr>
        <w:widowControl/>
        <w:spacing w:line="560" w:lineRule="atLeast"/>
        <w:ind w:firstLine="790" w:firstLineChars="250"/>
        <w:rPr>
          <w:rFonts w:ascii="仿宋" w:hAnsi="仿宋" w:eastAsia="仿宋"/>
          <w:color w:val="000000"/>
          <w:spacing w:val="-2"/>
          <w:kern w:val="0"/>
          <w:sz w:val="32"/>
          <w:szCs w:val="32"/>
        </w:rPr>
      </w:pPr>
      <w:r>
        <w:rPr>
          <w:rFonts w:hint="eastAsia" w:ascii="仿宋" w:hAnsi="仿宋" w:eastAsia="仿宋"/>
          <w:color w:val="000000"/>
          <w:spacing w:val="-2"/>
          <w:kern w:val="0"/>
          <w:sz w:val="32"/>
          <w:szCs w:val="32"/>
        </w:rPr>
        <w:t>对项目预算资金的编制准确率不高，从而会影响单位的整体预算执行情况。</w:t>
      </w:r>
    </w:p>
    <w:p>
      <w:pPr>
        <w:widowControl/>
        <w:spacing w:line="560" w:lineRule="atLeast"/>
        <w:ind w:firstLine="793" w:firstLineChars="250"/>
        <w:rPr>
          <w:rFonts w:ascii="楷体" w:hAnsi="楷体" w:eastAsia="楷体"/>
          <w:b/>
          <w:color w:val="000000"/>
          <w:spacing w:val="-2"/>
          <w:kern w:val="0"/>
          <w:sz w:val="32"/>
          <w:szCs w:val="32"/>
        </w:rPr>
      </w:pPr>
      <w:r>
        <w:rPr>
          <w:rFonts w:hint="eastAsia" w:ascii="楷体" w:hAnsi="楷体" w:eastAsia="楷体"/>
          <w:b/>
          <w:color w:val="000000"/>
          <w:spacing w:val="-2"/>
          <w:kern w:val="0"/>
          <w:sz w:val="32"/>
          <w:szCs w:val="32"/>
        </w:rPr>
        <w:t>（三）改进建议</w:t>
      </w:r>
    </w:p>
    <w:p>
      <w:pPr>
        <w:widowControl/>
        <w:spacing w:line="560" w:lineRule="atLeast"/>
        <w:ind w:firstLine="790" w:firstLineChars="250"/>
        <w:rPr>
          <w:rFonts w:ascii="仿宋" w:hAnsi="仿宋" w:eastAsia="仿宋"/>
          <w:color w:val="000000"/>
          <w:spacing w:val="-2"/>
          <w:kern w:val="0"/>
          <w:sz w:val="32"/>
          <w:szCs w:val="32"/>
        </w:rPr>
      </w:pPr>
      <w:r>
        <w:rPr>
          <w:rFonts w:hint="eastAsia" w:ascii="仿宋" w:hAnsi="仿宋" w:eastAsia="仿宋"/>
          <w:color w:val="000000"/>
          <w:spacing w:val="-2"/>
          <w:kern w:val="0"/>
          <w:sz w:val="32"/>
          <w:szCs w:val="32"/>
        </w:rPr>
        <w:t>建议财政部门进一步加强对财务人员的培训，提高财务人员的业务能力。</w:t>
      </w:r>
    </w:p>
    <w:p/>
    <w:p/>
    <w:p>
      <w:pPr>
        <w:spacing w:line="600" w:lineRule="exact"/>
        <w:outlineLvl w:val="0"/>
        <w:rPr>
          <w:rFonts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59"/>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1"/>
    </w:p>
    <w:p>
      <w:pPr>
        <w:pStyle w:val="3"/>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2"/>
    </w:p>
    <w:p>
      <w:pPr>
        <w:pStyle w:val="3"/>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3"/>
        <w:rPr>
          <w:rFonts w:ascii="仿宋" w:hAnsi="仿宋" w:eastAsia="仿宋"/>
          <w:color w:val="00000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4"/>
    </w:p>
    <w:p>
      <w:pPr>
        <w:pStyle w:val="3"/>
        <w:rPr>
          <w:rFonts w:ascii="仿宋" w:hAnsi="仿宋" w:eastAsia="仿宋"/>
          <w:color w:val="000000"/>
        </w:rPr>
      </w:pPr>
      <w:bookmarkStart w:id="65"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6770"/>
    <w:rsid w:val="000222C6"/>
    <w:rsid w:val="0002549F"/>
    <w:rsid w:val="000257A2"/>
    <w:rsid w:val="0006487A"/>
    <w:rsid w:val="00065F8F"/>
    <w:rsid w:val="000768F2"/>
    <w:rsid w:val="0009184B"/>
    <w:rsid w:val="0009593C"/>
    <w:rsid w:val="000B047F"/>
    <w:rsid w:val="000B5923"/>
    <w:rsid w:val="000B5A48"/>
    <w:rsid w:val="000B6FF3"/>
    <w:rsid w:val="000C250A"/>
    <w:rsid w:val="000C3467"/>
    <w:rsid w:val="000C3CA6"/>
    <w:rsid w:val="000C7A1E"/>
    <w:rsid w:val="000C7F72"/>
    <w:rsid w:val="000D1267"/>
    <w:rsid w:val="000D1D50"/>
    <w:rsid w:val="000D5782"/>
    <w:rsid w:val="000E27BC"/>
    <w:rsid w:val="000E41C0"/>
    <w:rsid w:val="000E615C"/>
    <w:rsid w:val="000E6613"/>
    <w:rsid w:val="000E7119"/>
    <w:rsid w:val="000F0E2D"/>
    <w:rsid w:val="000F1740"/>
    <w:rsid w:val="00102E27"/>
    <w:rsid w:val="00114E9B"/>
    <w:rsid w:val="0012138A"/>
    <w:rsid w:val="0014729F"/>
    <w:rsid w:val="00157BAB"/>
    <w:rsid w:val="0016072F"/>
    <w:rsid w:val="001654D1"/>
    <w:rsid w:val="0018106D"/>
    <w:rsid w:val="001877A7"/>
    <w:rsid w:val="00190D8E"/>
    <w:rsid w:val="00191536"/>
    <w:rsid w:val="00195B91"/>
    <w:rsid w:val="00196687"/>
    <w:rsid w:val="001A21B4"/>
    <w:rsid w:val="001A23FF"/>
    <w:rsid w:val="001C0485"/>
    <w:rsid w:val="001C0962"/>
    <w:rsid w:val="001C605D"/>
    <w:rsid w:val="001D7531"/>
    <w:rsid w:val="001E737D"/>
    <w:rsid w:val="001F0592"/>
    <w:rsid w:val="001F417B"/>
    <w:rsid w:val="001F7506"/>
    <w:rsid w:val="002006CD"/>
    <w:rsid w:val="00202B36"/>
    <w:rsid w:val="00204B7A"/>
    <w:rsid w:val="0021101A"/>
    <w:rsid w:val="00220536"/>
    <w:rsid w:val="00220C54"/>
    <w:rsid w:val="00235629"/>
    <w:rsid w:val="0024360F"/>
    <w:rsid w:val="00260C38"/>
    <w:rsid w:val="002616C0"/>
    <w:rsid w:val="00263B0D"/>
    <w:rsid w:val="002662AA"/>
    <w:rsid w:val="0026733D"/>
    <w:rsid w:val="00280496"/>
    <w:rsid w:val="002820FF"/>
    <w:rsid w:val="002900A4"/>
    <w:rsid w:val="00295495"/>
    <w:rsid w:val="002A65E4"/>
    <w:rsid w:val="002B2613"/>
    <w:rsid w:val="002F1818"/>
    <w:rsid w:val="002F567B"/>
    <w:rsid w:val="002F6F40"/>
    <w:rsid w:val="00314748"/>
    <w:rsid w:val="00317EDC"/>
    <w:rsid w:val="003216A9"/>
    <w:rsid w:val="0032638C"/>
    <w:rsid w:val="0037013F"/>
    <w:rsid w:val="00371F8B"/>
    <w:rsid w:val="00380C92"/>
    <w:rsid w:val="00397443"/>
    <w:rsid w:val="003A484F"/>
    <w:rsid w:val="003B0BE0"/>
    <w:rsid w:val="003B0C1B"/>
    <w:rsid w:val="003B688C"/>
    <w:rsid w:val="003C0291"/>
    <w:rsid w:val="003C39AE"/>
    <w:rsid w:val="003C3E35"/>
    <w:rsid w:val="003C7B60"/>
    <w:rsid w:val="003D1FB2"/>
    <w:rsid w:val="003D66DA"/>
    <w:rsid w:val="003E1310"/>
    <w:rsid w:val="003E6F55"/>
    <w:rsid w:val="00401C85"/>
    <w:rsid w:val="0040503F"/>
    <w:rsid w:val="00406254"/>
    <w:rsid w:val="004223DE"/>
    <w:rsid w:val="00422A5C"/>
    <w:rsid w:val="0042357C"/>
    <w:rsid w:val="00434489"/>
    <w:rsid w:val="00437085"/>
    <w:rsid w:val="00443880"/>
    <w:rsid w:val="004464F4"/>
    <w:rsid w:val="00471401"/>
    <w:rsid w:val="00473F31"/>
    <w:rsid w:val="004764C1"/>
    <w:rsid w:val="0048263A"/>
    <w:rsid w:val="00487E5D"/>
    <w:rsid w:val="004A18AE"/>
    <w:rsid w:val="004A711F"/>
    <w:rsid w:val="004B199D"/>
    <w:rsid w:val="004B4690"/>
    <w:rsid w:val="004E0A2D"/>
    <w:rsid w:val="004E206B"/>
    <w:rsid w:val="004E6DF7"/>
    <w:rsid w:val="004F0FBD"/>
    <w:rsid w:val="00500708"/>
    <w:rsid w:val="00505A47"/>
    <w:rsid w:val="00512FDA"/>
    <w:rsid w:val="00520DA0"/>
    <w:rsid w:val="0052160A"/>
    <w:rsid w:val="00524635"/>
    <w:rsid w:val="005256F3"/>
    <w:rsid w:val="00547083"/>
    <w:rsid w:val="00561DDE"/>
    <w:rsid w:val="005637E3"/>
    <w:rsid w:val="005664BB"/>
    <w:rsid w:val="00567166"/>
    <w:rsid w:val="0057481D"/>
    <w:rsid w:val="0058486E"/>
    <w:rsid w:val="00596275"/>
    <w:rsid w:val="005D1C8B"/>
    <w:rsid w:val="005D5CED"/>
    <w:rsid w:val="005F1A4C"/>
    <w:rsid w:val="00605688"/>
    <w:rsid w:val="006070AF"/>
    <w:rsid w:val="00607E6C"/>
    <w:rsid w:val="006101B1"/>
    <w:rsid w:val="00610C9A"/>
    <w:rsid w:val="00614E44"/>
    <w:rsid w:val="00622830"/>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B6668"/>
    <w:rsid w:val="006B6B60"/>
    <w:rsid w:val="006C0510"/>
    <w:rsid w:val="006C1937"/>
    <w:rsid w:val="006D74C1"/>
    <w:rsid w:val="006F020C"/>
    <w:rsid w:val="00711969"/>
    <w:rsid w:val="007127B7"/>
    <w:rsid w:val="00723606"/>
    <w:rsid w:val="007334B3"/>
    <w:rsid w:val="007368ED"/>
    <w:rsid w:val="007416B6"/>
    <w:rsid w:val="00746F48"/>
    <w:rsid w:val="0075404D"/>
    <w:rsid w:val="0076182A"/>
    <w:rsid w:val="00767B7E"/>
    <w:rsid w:val="007770C3"/>
    <w:rsid w:val="00783054"/>
    <w:rsid w:val="00784D24"/>
    <w:rsid w:val="00785FBA"/>
    <w:rsid w:val="00786E4A"/>
    <w:rsid w:val="007875EB"/>
    <w:rsid w:val="00793814"/>
    <w:rsid w:val="0079426B"/>
    <w:rsid w:val="007A2E13"/>
    <w:rsid w:val="007C0789"/>
    <w:rsid w:val="007D312A"/>
    <w:rsid w:val="007D3F19"/>
    <w:rsid w:val="007E23B0"/>
    <w:rsid w:val="007F1267"/>
    <w:rsid w:val="007F1991"/>
    <w:rsid w:val="007F2C2F"/>
    <w:rsid w:val="007F55FC"/>
    <w:rsid w:val="007F5665"/>
    <w:rsid w:val="00800112"/>
    <w:rsid w:val="00821865"/>
    <w:rsid w:val="008253BB"/>
    <w:rsid w:val="0083706E"/>
    <w:rsid w:val="008423A5"/>
    <w:rsid w:val="00850625"/>
    <w:rsid w:val="00853718"/>
    <w:rsid w:val="00855221"/>
    <w:rsid w:val="00860645"/>
    <w:rsid w:val="00864E2E"/>
    <w:rsid w:val="00871F71"/>
    <w:rsid w:val="00875836"/>
    <w:rsid w:val="00885AF4"/>
    <w:rsid w:val="008939CD"/>
    <w:rsid w:val="008B768C"/>
    <w:rsid w:val="008C4DB1"/>
    <w:rsid w:val="008C4EAF"/>
    <w:rsid w:val="008C5176"/>
    <w:rsid w:val="008C7FD0"/>
    <w:rsid w:val="008E1DE7"/>
    <w:rsid w:val="008E707C"/>
    <w:rsid w:val="00900B08"/>
    <w:rsid w:val="00902155"/>
    <w:rsid w:val="00902FA3"/>
    <w:rsid w:val="00904DA4"/>
    <w:rsid w:val="00923564"/>
    <w:rsid w:val="0092392E"/>
    <w:rsid w:val="00925947"/>
    <w:rsid w:val="009315F9"/>
    <w:rsid w:val="00933444"/>
    <w:rsid w:val="00945B8A"/>
    <w:rsid w:val="00946945"/>
    <w:rsid w:val="00951248"/>
    <w:rsid w:val="0095152F"/>
    <w:rsid w:val="009537F5"/>
    <w:rsid w:val="00954C49"/>
    <w:rsid w:val="0097099F"/>
    <w:rsid w:val="00971997"/>
    <w:rsid w:val="00971FFC"/>
    <w:rsid w:val="0098660A"/>
    <w:rsid w:val="009900A7"/>
    <w:rsid w:val="009931C3"/>
    <w:rsid w:val="009A0D43"/>
    <w:rsid w:val="009B2C43"/>
    <w:rsid w:val="009B4EAE"/>
    <w:rsid w:val="009B7573"/>
    <w:rsid w:val="009C152D"/>
    <w:rsid w:val="009C22F4"/>
    <w:rsid w:val="009C2E98"/>
    <w:rsid w:val="009D3447"/>
    <w:rsid w:val="009D4711"/>
    <w:rsid w:val="009F1185"/>
    <w:rsid w:val="009F18CD"/>
    <w:rsid w:val="009F2A13"/>
    <w:rsid w:val="00A006EA"/>
    <w:rsid w:val="00A04EB0"/>
    <w:rsid w:val="00A13CC1"/>
    <w:rsid w:val="00A16847"/>
    <w:rsid w:val="00A237D8"/>
    <w:rsid w:val="00A268C4"/>
    <w:rsid w:val="00A268EC"/>
    <w:rsid w:val="00A307CD"/>
    <w:rsid w:val="00A40A00"/>
    <w:rsid w:val="00A4142F"/>
    <w:rsid w:val="00A56DF2"/>
    <w:rsid w:val="00A67AB5"/>
    <w:rsid w:val="00A73829"/>
    <w:rsid w:val="00A87CF8"/>
    <w:rsid w:val="00A91760"/>
    <w:rsid w:val="00A93B00"/>
    <w:rsid w:val="00A93C21"/>
    <w:rsid w:val="00A94D6E"/>
    <w:rsid w:val="00AB1B77"/>
    <w:rsid w:val="00AB2C3D"/>
    <w:rsid w:val="00AC3C6A"/>
    <w:rsid w:val="00AC7A94"/>
    <w:rsid w:val="00AD5620"/>
    <w:rsid w:val="00AD7C1B"/>
    <w:rsid w:val="00AE16BA"/>
    <w:rsid w:val="00AE1EBE"/>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7EA6"/>
    <w:rsid w:val="00B81598"/>
    <w:rsid w:val="00B841F1"/>
    <w:rsid w:val="00B90B22"/>
    <w:rsid w:val="00B944D6"/>
    <w:rsid w:val="00BB0682"/>
    <w:rsid w:val="00BB4DF0"/>
    <w:rsid w:val="00BC0759"/>
    <w:rsid w:val="00BC289F"/>
    <w:rsid w:val="00BC28D1"/>
    <w:rsid w:val="00BC5361"/>
    <w:rsid w:val="00BC5460"/>
    <w:rsid w:val="00BC6B50"/>
    <w:rsid w:val="00BD0E25"/>
    <w:rsid w:val="00BD4FDD"/>
    <w:rsid w:val="00BF5BD6"/>
    <w:rsid w:val="00C03E31"/>
    <w:rsid w:val="00C159EF"/>
    <w:rsid w:val="00C2102D"/>
    <w:rsid w:val="00C33D68"/>
    <w:rsid w:val="00C33E72"/>
    <w:rsid w:val="00C34B43"/>
    <w:rsid w:val="00C354B2"/>
    <w:rsid w:val="00C35554"/>
    <w:rsid w:val="00C42709"/>
    <w:rsid w:val="00C533CC"/>
    <w:rsid w:val="00C5751C"/>
    <w:rsid w:val="00C61BFC"/>
    <w:rsid w:val="00C62B85"/>
    <w:rsid w:val="00C65438"/>
    <w:rsid w:val="00C91CBB"/>
    <w:rsid w:val="00C96F5A"/>
    <w:rsid w:val="00CC09B6"/>
    <w:rsid w:val="00CC3EFC"/>
    <w:rsid w:val="00CC666F"/>
    <w:rsid w:val="00CD1E3F"/>
    <w:rsid w:val="00CE44F6"/>
    <w:rsid w:val="00CE49DA"/>
    <w:rsid w:val="00CE7B61"/>
    <w:rsid w:val="00CF2398"/>
    <w:rsid w:val="00CF2BC0"/>
    <w:rsid w:val="00D00095"/>
    <w:rsid w:val="00D02C22"/>
    <w:rsid w:val="00D06103"/>
    <w:rsid w:val="00D10049"/>
    <w:rsid w:val="00D12650"/>
    <w:rsid w:val="00D1407F"/>
    <w:rsid w:val="00D20620"/>
    <w:rsid w:val="00D26091"/>
    <w:rsid w:val="00D31057"/>
    <w:rsid w:val="00D34E7C"/>
    <w:rsid w:val="00D35489"/>
    <w:rsid w:val="00D457D3"/>
    <w:rsid w:val="00D51276"/>
    <w:rsid w:val="00D7035F"/>
    <w:rsid w:val="00DA0A2C"/>
    <w:rsid w:val="00DA1768"/>
    <w:rsid w:val="00DA65AC"/>
    <w:rsid w:val="00DB1913"/>
    <w:rsid w:val="00DC22E7"/>
    <w:rsid w:val="00DC410D"/>
    <w:rsid w:val="00DC5493"/>
    <w:rsid w:val="00DC68CA"/>
    <w:rsid w:val="00DC7CBA"/>
    <w:rsid w:val="00DD18F1"/>
    <w:rsid w:val="00DD73B7"/>
    <w:rsid w:val="00DE688B"/>
    <w:rsid w:val="00DF28BC"/>
    <w:rsid w:val="00DF34B9"/>
    <w:rsid w:val="00E01053"/>
    <w:rsid w:val="00E07ACF"/>
    <w:rsid w:val="00E16E95"/>
    <w:rsid w:val="00E331A1"/>
    <w:rsid w:val="00E33202"/>
    <w:rsid w:val="00E336A9"/>
    <w:rsid w:val="00E50624"/>
    <w:rsid w:val="00E568DF"/>
    <w:rsid w:val="00E61163"/>
    <w:rsid w:val="00E615E9"/>
    <w:rsid w:val="00E64269"/>
    <w:rsid w:val="00E64428"/>
    <w:rsid w:val="00E80E51"/>
    <w:rsid w:val="00E82267"/>
    <w:rsid w:val="00E96A03"/>
    <w:rsid w:val="00EA010F"/>
    <w:rsid w:val="00EB6163"/>
    <w:rsid w:val="00EC7240"/>
    <w:rsid w:val="00ED1B63"/>
    <w:rsid w:val="00ED3C1F"/>
    <w:rsid w:val="00ED4085"/>
    <w:rsid w:val="00ED420E"/>
    <w:rsid w:val="00EE2F57"/>
    <w:rsid w:val="00EE3B0D"/>
    <w:rsid w:val="00EF2A3B"/>
    <w:rsid w:val="00EF4C34"/>
    <w:rsid w:val="00EF77C6"/>
    <w:rsid w:val="00F05438"/>
    <w:rsid w:val="00F1361C"/>
    <w:rsid w:val="00F160C7"/>
    <w:rsid w:val="00F16705"/>
    <w:rsid w:val="00F2710E"/>
    <w:rsid w:val="00F31D50"/>
    <w:rsid w:val="00F36D8F"/>
    <w:rsid w:val="00F37BBE"/>
    <w:rsid w:val="00F417B1"/>
    <w:rsid w:val="00F602DF"/>
    <w:rsid w:val="00F81FD9"/>
    <w:rsid w:val="00F83F33"/>
    <w:rsid w:val="00F841AA"/>
    <w:rsid w:val="00FA23E8"/>
    <w:rsid w:val="00FC01EB"/>
    <w:rsid w:val="00FD0074"/>
    <w:rsid w:val="00FD0166"/>
    <w:rsid w:val="00FD3CC1"/>
    <w:rsid w:val="00FE7E23"/>
    <w:rsid w:val="00FF1E02"/>
    <w:rsid w:val="00FF30B4"/>
    <w:rsid w:val="10C055FF"/>
    <w:rsid w:val="16BB723D"/>
    <w:rsid w:val="240371BF"/>
    <w:rsid w:val="29FD04D3"/>
    <w:rsid w:val="319F7F4E"/>
    <w:rsid w:val="6CA35D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uiPriority w:val="0"/>
    <w:pPr>
      <w:ind w:left="200" w:leftChars="200" w:hanging="200" w:hangingChars="200"/>
    </w:p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22"/>
    <w:rPr>
      <w:b/>
      <w:bCs/>
    </w:rPr>
  </w:style>
  <w:style w:type="character" w:styleId="16">
    <w:name w:val="Hyperlink"/>
    <w:basedOn w:val="14"/>
    <w:unhideWhenUsed/>
    <w:uiPriority w:val="99"/>
    <w:rPr>
      <w:color w:val="0000FF" w:themeColor="hyperlink"/>
      <w:u w:val="single"/>
    </w:rPr>
  </w:style>
  <w:style w:type="character" w:customStyle="1" w:styleId="17">
    <w:name w:val="Header Char"/>
    <w:basedOn w:val="14"/>
    <w:semiHidden/>
    <w:uiPriority w:val="99"/>
    <w:rPr>
      <w:rFonts w:ascii="Times New Roman" w:hAnsi="Times New Roman"/>
      <w:sz w:val="18"/>
      <w:szCs w:val="18"/>
    </w:rPr>
  </w:style>
  <w:style w:type="character" w:customStyle="1" w:styleId="18">
    <w:name w:val="页眉 Char"/>
    <w:link w:val="9"/>
    <w:semiHidden/>
    <w:locked/>
    <w:uiPriority w:val="99"/>
    <w:rPr>
      <w:sz w:val="18"/>
    </w:rPr>
  </w:style>
  <w:style w:type="character" w:customStyle="1" w:styleId="19">
    <w:name w:val="Footer Char"/>
    <w:basedOn w:val="14"/>
    <w:semiHidden/>
    <w:uiPriority w:val="99"/>
    <w:rPr>
      <w:rFonts w:ascii="Times New Roman" w:hAnsi="Times New Roman"/>
      <w:sz w:val="18"/>
      <w:szCs w:val="18"/>
    </w:rPr>
  </w:style>
  <w:style w:type="character" w:customStyle="1" w:styleId="20">
    <w:name w:val="页脚 Char"/>
    <w:link w:val="8"/>
    <w:locked/>
    <w:uiPriority w:val="99"/>
    <w:rPr>
      <w:sz w:val="18"/>
    </w:rPr>
  </w:style>
  <w:style w:type="character" w:customStyle="1" w:styleId="21">
    <w:name w:val="Body Text Char"/>
    <w:basedOn w:val="14"/>
    <w:semiHidden/>
    <w:uiPriority w:val="99"/>
    <w:rPr>
      <w:rFonts w:ascii="Times New Roman" w:hAnsi="Times New Roman"/>
      <w:szCs w:val="24"/>
    </w:rPr>
  </w:style>
  <w:style w:type="character" w:customStyle="1" w:styleId="22">
    <w:name w:val="正文文本 Char"/>
    <w:link w:val="5"/>
    <w:locked/>
    <w:uiPriority w:val="99"/>
    <w:rPr>
      <w:rFonts w:ascii="仿宋_GB2312" w:hAnsi="Times New Roman" w:eastAsia="仿宋_GB2312"/>
      <w:sz w:val="24"/>
    </w:rPr>
  </w:style>
  <w:style w:type="paragraph" w:customStyle="1" w:styleId="23">
    <w:name w:val="Default"/>
    <w:uiPriority w:val="0"/>
    <w:pPr>
      <w:widowControl w:val="0"/>
      <w:autoSpaceDE w:val="0"/>
      <w:autoSpaceDN w:val="0"/>
      <w:adjustRightInd w:val="0"/>
    </w:pPr>
    <w:rPr>
      <w:rFonts w:ascii="仿宋" w:eastAsia="仿宋" w:cs="仿宋" w:hAnsiTheme="minorHAnsi"/>
      <w:color w:val="000000"/>
      <w:kern w:val="2"/>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uiPriority w:val="9"/>
    <w:rPr>
      <w:b/>
      <w:bCs/>
      <w:kern w:val="44"/>
      <w:sz w:val="44"/>
      <w:szCs w:val="44"/>
    </w:rPr>
  </w:style>
  <w:style w:type="character" w:customStyle="1" w:styleId="26">
    <w:name w:val="标题 2 Char"/>
    <w:basedOn w:val="14"/>
    <w:link w:val="3"/>
    <w:semiHidden/>
    <w:uiPriority w:val="9"/>
    <w:rPr>
      <w:rFonts w:asciiTheme="majorHAnsi" w:hAnsiTheme="majorHAnsi" w:eastAsiaTheme="majorEastAsia" w:cstheme="majorBidi"/>
      <w:b/>
      <w:bCs/>
      <w:sz w:val="32"/>
      <w:szCs w:val="32"/>
    </w:rPr>
  </w:style>
  <w:style w:type="paragraph" w:customStyle="1" w:styleId="27">
    <w:name w:val="TOC Heading"/>
    <w:basedOn w:val="2"/>
    <w:next w:val="1"/>
    <w:semiHidden/>
    <w:unhideWhenUsed/>
    <w:qFormat/>
    <w:uiPriority w:val="39"/>
    <w:pPr>
      <w:outlineLvl w:val="9"/>
    </w:pPr>
  </w:style>
  <w:style w:type="character" w:customStyle="1" w:styleId="28">
    <w:name w:val="批注框文本 Char"/>
    <w:basedOn w:val="14"/>
    <w:link w:val="7"/>
    <w:semiHidden/>
    <w:uiPriority w:val="99"/>
    <w:rPr>
      <w:rFonts w:ascii="Times New Roman" w:hAnsi="Times New Roman"/>
      <w:kern w:val="2"/>
      <w:sz w:val="18"/>
      <w:szCs w:val="18"/>
    </w:rPr>
  </w:style>
  <w:style w:type="character" w:customStyle="1" w:styleId="29">
    <w:name w:val="标题 3 Char"/>
    <w:basedOn w:val="14"/>
    <w:link w:val="4"/>
    <w:semiHidden/>
    <w:uiPriority w:val="9"/>
    <w:rPr>
      <w:b/>
      <w:bCs/>
      <w:sz w:val="32"/>
      <w:szCs w:val="32"/>
    </w:rPr>
  </w:style>
  <w:style w:type="paragraph" w:customStyle="1" w:styleId="30">
    <w:name w:val="Char Char Char Char Char Char Char Char Char Char Char Char Char Char Char Char"/>
    <w:basedOn w:val="1"/>
    <w:uiPriority w:val="0"/>
    <w:pPr>
      <w:tabs>
        <w:tab w:val="left" w:pos="360"/>
      </w:tabs>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2018收入</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其他收入</c:v>
                </c:pt>
              </c:strCache>
            </c:strRef>
          </c:cat>
          <c:val>
            <c:numRef>
              <c:f>Sheet1!$B$2:$B$3</c:f>
              <c:numCache>
                <c:formatCode>0%</c:formatCode>
                <c:ptCount val="2"/>
                <c:pt idx="0">
                  <c:v>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2018年支出</c:v>
                </c:pt>
              </c:strCache>
            </c:strRef>
          </c:tx>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100%</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1</c:v>
                </c:pt>
                <c:pt idx="1">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一般公共服务支出</c:v>
                </c:pt>
                <c:pt idx="1">
                  <c:v>社会保障和就业支出</c:v>
                </c:pt>
                <c:pt idx="2">
                  <c:v>医疗卫生支出</c:v>
                </c:pt>
                <c:pt idx="3">
                  <c:v>住房保障支出</c:v>
                </c:pt>
              </c:strCache>
            </c:strRef>
          </c:cat>
          <c:val>
            <c:numRef>
              <c:f>Sheet1!$B$2:$B$5</c:f>
              <c:numCache>
                <c:formatCode>0.00%</c:formatCode>
                <c:ptCount val="4"/>
                <c:pt idx="0">
                  <c:v>0.7635</c:v>
                </c:pt>
                <c:pt idx="1">
                  <c:v>0.1246</c:v>
                </c:pt>
                <c:pt idx="2">
                  <c:v>0.0452</c:v>
                </c:pt>
                <c:pt idx="3">
                  <c:v>0.0667</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列1</c:v>
                </c:pt>
              </c:strCache>
            </c:strRef>
          </c:tx>
          <c:explosion val="0"/>
          <c:dPt>
            <c:idx val="0"/>
            <c:bubble3D val="0"/>
          </c:dPt>
          <c:dPt>
            <c:idx val="1"/>
            <c:bubble3D val="0"/>
          </c:dPt>
          <c:dPt>
            <c:idx val="2"/>
            <c:bubble3D val="0"/>
          </c:dPt>
          <c:dLbls>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100%</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公务用车购置经费</c:v>
                </c:pt>
                <c:pt idx="1">
                  <c:v>公务接待费</c:v>
                </c:pt>
                <c:pt idx="2">
                  <c:v>因公出国境经费</c:v>
                </c:pt>
              </c:strCache>
            </c:strRef>
          </c:cat>
          <c:val>
            <c:numRef>
              <c:f>Sheet1!$B$2:$B$4</c:f>
              <c:numCache>
                <c:formatCode>General</c:formatCode>
                <c:ptCount val="3"/>
                <c:pt idx="1" c:formatCode="0.00%">
                  <c:v>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711F0-9961-45DC-B0BA-9E0C647FAC2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6848</Words>
  <Characters>2700</Characters>
  <Lines>22</Lines>
  <Paragraphs>19</Paragraphs>
  <TotalTime>94</TotalTime>
  <ScaleCrop>false</ScaleCrop>
  <LinksUpToDate>false</LinksUpToDate>
  <CharactersWithSpaces>9529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2019-09-25T09:29:00Z</dcterms:created>
  <dc:creator>张彬茜</dc:creator>
  <cp:lastModifiedBy>Administrator</cp:lastModifiedBy>
  <cp:lastPrinted>2019-09-27T03:42:00Z</cp:lastPrinted>
  <dcterms:modified xsi:type="dcterms:W3CDTF">2023-04-07T11:22:58Z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